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08E3" w14:textId="21B4D791" w:rsidR="008F553C" w:rsidRDefault="008F553C">
      <w:pPr>
        <w:rPr>
          <w:sz w:val="32"/>
          <w:szCs w:val="32"/>
          <w:lang w:val="en-CA"/>
        </w:rPr>
      </w:pPr>
      <w:r w:rsidRPr="008F553C">
        <w:rPr>
          <w:sz w:val="32"/>
          <w:szCs w:val="32"/>
          <w:lang w:val="en-CA"/>
        </w:rPr>
        <w:t xml:space="preserve">Highlights of CUPE NS </w:t>
      </w:r>
      <w:r w:rsidR="00852B1F">
        <w:rPr>
          <w:sz w:val="32"/>
          <w:szCs w:val="32"/>
          <w:lang w:val="en-CA"/>
        </w:rPr>
        <w:t>Panel Discussion:</w:t>
      </w:r>
    </w:p>
    <w:p w14:paraId="1CA12673" w14:textId="6D4CC472" w:rsidR="00852B1F" w:rsidRPr="00852B1F" w:rsidRDefault="00852B1F" w:rsidP="00852B1F">
      <w:pPr>
        <w:shd w:val="clear" w:color="auto" w:fill="FFFFFF"/>
        <w:spacing w:line="288" w:lineRule="atLeast"/>
        <w:outlineLvl w:val="0"/>
        <w:rPr>
          <w:rFonts w:ascii="Lato" w:eastAsia="Times New Roman" w:hAnsi="Lato" w:cs="Times New Roman"/>
          <w:b/>
          <w:bCs/>
          <w:color w:val="003669"/>
          <w:kern w:val="36"/>
          <w:sz w:val="36"/>
          <w:szCs w:val="36"/>
        </w:rPr>
      </w:pPr>
      <w:r w:rsidRPr="00852B1F">
        <w:rPr>
          <w:rFonts w:ascii="Lato" w:eastAsia="Times New Roman" w:hAnsi="Lato" w:cs="Times New Roman"/>
          <w:b/>
          <w:bCs/>
          <w:color w:val="003669"/>
          <w:kern w:val="36"/>
          <w:sz w:val="36"/>
          <w:szCs w:val="36"/>
        </w:rPr>
        <w:t>Transparency and the right to know how our money is spent</w:t>
      </w:r>
    </w:p>
    <w:p w14:paraId="75FACF4B" w14:textId="77777777" w:rsidR="008F553C" w:rsidRDefault="008F553C">
      <w:pPr>
        <w:rPr>
          <w:sz w:val="22"/>
          <w:szCs w:val="22"/>
          <w:lang w:val="en-CA"/>
        </w:rPr>
      </w:pPr>
    </w:p>
    <w:p w14:paraId="31EF607D" w14:textId="31D2A893" w:rsidR="008F553C" w:rsidRPr="00576819" w:rsidRDefault="00F96EEB">
      <w:pPr>
        <w:rPr>
          <w:color w:val="000000" w:themeColor="text1"/>
          <w:lang w:val="en-CA"/>
        </w:rPr>
      </w:pPr>
      <w:r w:rsidRPr="00576819">
        <w:rPr>
          <w:color w:val="000000" w:themeColor="text1"/>
          <w:lang w:val="en-CA"/>
        </w:rPr>
        <w:t xml:space="preserve">CUPE Nova Scotia is calling for transparency </w:t>
      </w:r>
      <w:r w:rsidR="00A360E7" w:rsidRPr="00576819">
        <w:rPr>
          <w:color w:val="000000" w:themeColor="text1"/>
          <w:lang w:val="en-CA"/>
        </w:rPr>
        <w:t>and accountability legislation to govern the</w:t>
      </w:r>
      <w:r w:rsidRPr="00576819">
        <w:rPr>
          <w:color w:val="000000" w:themeColor="text1"/>
          <w:lang w:val="en-CA"/>
        </w:rPr>
        <w:t xml:space="preserve"> disclosure and reporting of pub</w:t>
      </w:r>
      <w:r w:rsidR="00A360E7" w:rsidRPr="00576819">
        <w:rPr>
          <w:color w:val="000000" w:themeColor="text1"/>
          <w:lang w:val="en-CA"/>
        </w:rPr>
        <w:t>lic-private partnerships</w:t>
      </w:r>
      <w:r w:rsidRPr="00576819">
        <w:rPr>
          <w:color w:val="000000" w:themeColor="text1"/>
          <w:lang w:val="en-CA"/>
        </w:rPr>
        <w:t xml:space="preserve">. </w:t>
      </w:r>
      <w:r w:rsidR="008F553C" w:rsidRPr="00576819">
        <w:rPr>
          <w:color w:val="000000" w:themeColor="text1"/>
          <w:lang w:val="en-CA"/>
        </w:rPr>
        <w:t>The following recommendations</w:t>
      </w:r>
      <w:r w:rsidR="00852B1F" w:rsidRPr="00576819">
        <w:rPr>
          <w:color w:val="000000" w:themeColor="text1"/>
          <w:lang w:val="en-CA"/>
        </w:rPr>
        <w:t xml:space="preserve"> to</w:t>
      </w:r>
      <w:r w:rsidR="008F553C" w:rsidRPr="00576819">
        <w:rPr>
          <w:color w:val="000000" w:themeColor="text1"/>
          <w:lang w:val="en-CA"/>
        </w:rPr>
        <w:t xml:space="preserve"> government are based on research an</w:t>
      </w:r>
      <w:r w:rsidR="00852B1F" w:rsidRPr="00576819">
        <w:rPr>
          <w:color w:val="000000" w:themeColor="text1"/>
          <w:lang w:val="en-CA"/>
        </w:rPr>
        <w:t xml:space="preserve">d discussion coming out of a symposium on </w:t>
      </w:r>
      <w:r w:rsidR="00623D37" w:rsidRPr="00576819">
        <w:rPr>
          <w:color w:val="000000" w:themeColor="text1"/>
          <w:lang w:val="en-CA"/>
        </w:rPr>
        <w:t xml:space="preserve">P3s and transparency </w:t>
      </w:r>
      <w:r w:rsidR="008F553C" w:rsidRPr="00576819">
        <w:rPr>
          <w:color w:val="000000" w:themeColor="text1"/>
          <w:lang w:val="en-CA"/>
        </w:rPr>
        <w:t>held in Halifax on November 13, 2018.</w:t>
      </w:r>
    </w:p>
    <w:p w14:paraId="47557925" w14:textId="77777777" w:rsidR="008F553C" w:rsidRPr="00576819" w:rsidRDefault="008F553C" w:rsidP="00A360E7">
      <w:pPr>
        <w:rPr>
          <w:color w:val="000000" w:themeColor="text1"/>
          <w:lang w:val="en-CA"/>
        </w:rPr>
      </w:pPr>
    </w:p>
    <w:p w14:paraId="0C8058CE" w14:textId="44EF058C" w:rsidR="00A360E7" w:rsidRPr="00576819" w:rsidRDefault="00576819" w:rsidP="005768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>Transparency and a</w:t>
      </w:r>
      <w:r w:rsidR="00A360E7" w:rsidRPr="00576819">
        <w:rPr>
          <w:rFonts w:asciiTheme="minorHAnsi" w:hAnsiTheme="minorHAnsi" w:cs="Arial"/>
          <w:color w:val="000000" w:themeColor="text1"/>
        </w:rPr>
        <w:t>ccountability legislation must requi</w:t>
      </w:r>
      <w:r w:rsidRPr="00576819">
        <w:rPr>
          <w:rFonts w:asciiTheme="minorHAnsi" w:hAnsiTheme="minorHAnsi" w:cs="Arial"/>
          <w:color w:val="000000" w:themeColor="text1"/>
        </w:rPr>
        <w:t xml:space="preserve">re a public sector comparator— </w:t>
      </w:r>
      <w:r w:rsidR="00A360E7" w:rsidRPr="00576819">
        <w:rPr>
          <w:rFonts w:asciiTheme="minorHAnsi" w:hAnsiTheme="minorHAnsi" w:cs="Arial"/>
          <w:color w:val="000000" w:themeColor="text1"/>
        </w:rPr>
        <w:t>P3</w:t>
      </w:r>
      <w:r w:rsidRPr="00576819">
        <w:rPr>
          <w:rFonts w:asciiTheme="minorHAnsi" w:hAnsiTheme="minorHAnsi" w:cs="Arial"/>
          <w:color w:val="000000" w:themeColor="text1"/>
        </w:rPr>
        <w:t>s</w:t>
      </w:r>
      <w:r w:rsidR="00A360E7" w:rsidRPr="00576819">
        <w:rPr>
          <w:rFonts w:asciiTheme="minorHAnsi" w:hAnsiTheme="minorHAnsi" w:cs="Arial"/>
          <w:color w:val="000000" w:themeColor="text1"/>
        </w:rPr>
        <w:t xml:space="preserve"> </w:t>
      </w:r>
      <w:r w:rsidRPr="00576819">
        <w:rPr>
          <w:rFonts w:asciiTheme="minorHAnsi" w:hAnsiTheme="minorHAnsi" w:cs="Arial"/>
          <w:color w:val="000000" w:themeColor="text1"/>
        </w:rPr>
        <w:t>should be costed</w:t>
      </w:r>
      <w:r w:rsidR="00A360E7" w:rsidRPr="00576819">
        <w:rPr>
          <w:rFonts w:asciiTheme="minorHAnsi" w:hAnsiTheme="minorHAnsi" w:cs="Arial"/>
          <w:color w:val="000000" w:themeColor="text1"/>
        </w:rPr>
        <w:t xml:space="preserve"> against a public sector option.</w:t>
      </w:r>
    </w:p>
    <w:p w14:paraId="004024F6" w14:textId="77777777" w:rsidR="00576819" w:rsidRPr="00576819" w:rsidRDefault="00576819" w:rsidP="00576819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</w:rPr>
      </w:pPr>
    </w:p>
    <w:p w14:paraId="2DC8948B" w14:textId="77777777" w:rsidR="00A360E7" w:rsidRPr="00576819" w:rsidRDefault="00A360E7" w:rsidP="005768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 xml:space="preserve">Nova Scotians deserve a full study of expected risks, costs, and benefits of using a P3 versus a traditional model of public finance, operation and maintenance. </w:t>
      </w:r>
    </w:p>
    <w:p w14:paraId="02B9FB48" w14:textId="77777777" w:rsidR="00576819" w:rsidRPr="00576819" w:rsidRDefault="00576819" w:rsidP="00576819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14:paraId="0BD36F59" w14:textId="533A2694" w:rsidR="00EE4905" w:rsidRPr="00576819" w:rsidRDefault="00EE4905" w:rsidP="00576819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>The public must be able to access all relevant documents and information related to a P3 project</w:t>
      </w:r>
      <w:r w:rsidR="00A360E7" w:rsidRPr="00576819">
        <w:rPr>
          <w:rFonts w:asciiTheme="minorHAnsi" w:hAnsiTheme="minorHAnsi" w:cs="Arial"/>
          <w:color w:val="000000" w:themeColor="text1"/>
        </w:rPr>
        <w:t>.</w:t>
      </w:r>
    </w:p>
    <w:p w14:paraId="17CA3A42" w14:textId="77777777" w:rsidR="00576819" w:rsidRPr="00576819" w:rsidRDefault="00576819" w:rsidP="00576819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14:paraId="6B7242F3" w14:textId="3C067B34" w:rsidR="00576819" w:rsidRPr="00576819" w:rsidRDefault="00576819" w:rsidP="005768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rFonts w:asciiTheme="minorHAnsi" w:hAnsiTheme="minorHAnsi"/>
          <w:color w:val="000000" w:themeColor="text1"/>
        </w:rPr>
      </w:pPr>
      <w:r w:rsidRPr="00576819">
        <w:rPr>
          <w:rFonts w:asciiTheme="minorHAnsi" w:hAnsiTheme="minorHAnsi"/>
          <w:color w:val="000000" w:themeColor="text1"/>
        </w:rPr>
        <w:t>Operating and maintenance payments, as well as any other payments, or minimum revenue guarantees, should be required to be itemized.</w:t>
      </w:r>
    </w:p>
    <w:p w14:paraId="4C5E4F2D" w14:textId="77777777" w:rsidR="00A360E7" w:rsidRPr="00576819" w:rsidRDefault="00A360E7" w:rsidP="005768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 xml:space="preserve">The Auditor General must be entitled to access all documents and records of the P3, all reports commissioned and all recommendations.  </w:t>
      </w:r>
    </w:p>
    <w:p w14:paraId="591049B0" w14:textId="77777777" w:rsidR="00A360E7" w:rsidRPr="00576819" w:rsidRDefault="00A360E7" w:rsidP="00576819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14:paraId="60E7C4B2" w14:textId="77777777" w:rsidR="00A360E7" w:rsidRPr="00576819" w:rsidRDefault="00A360E7" w:rsidP="005768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>The Auditor General must be able to examine the methodology – the reasoning – behind the choice of a P3 project and make sure that it stands the test versus a traditional public sector option.</w:t>
      </w:r>
    </w:p>
    <w:p w14:paraId="3671BFC0" w14:textId="77777777" w:rsidR="00A360E7" w:rsidRPr="00576819" w:rsidRDefault="00A360E7" w:rsidP="00576819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14:paraId="44D5EF7B" w14:textId="23E59AAE" w:rsidR="00A360E7" w:rsidRPr="00576819" w:rsidRDefault="00576819" w:rsidP="005768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>T</w:t>
      </w:r>
      <w:r w:rsidR="00A360E7" w:rsidRPr="00576819">
        <w:rPr>
          <w:rFonts w:asciiTheme="minorHAnsi" w:hAnsiTheme="minorHAnsi" w:cs="Arial"/>
          <w:color w:val="000000" w:themeColor="text1"/>
        </w:rPr>
        <w:t>h</w:t>
      </w:r>
      <w:r w:rsidRPr="00576819">
        <w:rPr>
          <w:rFonts w:asciiTheme="minorHAnsi" w:hAnsiTheme="minorHAnsi" w:cs="Arial"/>
          <w:color w:val="000000" w:themeColor="text1"/>
        </w:rPr>
        <w:t>e Auditor General should</w:t>
      </w:r>
      <w:r w:rsidR="00A360E7" w:rsidRPr="00576819">
        <w:rPr>
          <w:rFonts w:asciiTheme="minorHAnsi" w:hAnsiTheme="minorHAnsi" w:cs="Arial"/>
          <w:color w:val="000000" w:themeColor="text1"/>
        </w:rPr>
        <w:t xml:space="preserve"> have full proactive disclosure of all business case documents, successful and unsuccessful bids, and records of evaluation of bids and contracts. </w:t>
      </w:r>
    </w:p>
    <w:p w14:paraId="5E512D81" w14:textId="77777777" w:rsidR="00A360E7" w:rsidRPr="00576819" w:rsidRDefault="00A360E7" w:rsidP="00576819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14:paraId="7CFBDBFA" w14:textId="485F10B8" w:rsidR="00576819" w:rsidRPr="00576819" w:rsidRDefault="00A360E7" w:rsidP="005768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>The Office of the Information and Privacy Commissioner must be given the power to access information which has gone before cabinet or cabinet committees</w:t>
      </w:r>
      <w:r w:rsidR="00BB413E">
        <w:rPr>
          <w:rFonts w:asciiTheme="minorHAnsi" w:hAnsiTheme="minorHAnsi" w:cs="Arial"/>
          <w:color w:val="000000" w:themeColor="text1"/>
        </w:rPr>
        <w:t xml:space="preserve"> </w:t>
      </w:r>
      <w:r w:rsidRPr="00576819">
        <w:rPr>
          <w:rFonts w:asciiTheme="minorHAnsi" w:hAnsiTheme="minorHAnsi" w:cs="Arial"/>
          <w:color w:val="000000" w:themeColor="text1"/>
        </w:rPr>
        <w:t xml:space="preserve">and to rule on whether these documents should be released. </w:t>
      </w:r>
    </w:p>
    <w:p w14:paraId="6532EFD8" w14:textId="77777777" w:rsidR="00576819" w:rsidRPr="00576819" w:rsidRDefault="00576819" w:rsidP="00576819">
      <w:pPr>
        <w:pStyle w:val="NormalWeb"/>
        <w:spacing w:before="0" w:beforeAutospacing="0" w:after="0" w:afterAutospacing="0"/>
        <w:ind w:left="714"/>
        <w:rPr>
          <w:rFonts w:asciiTheme="minorHAnsi" w:hAnsiTheme="minorHAnsi" w:cs="Arial"/>
          <w:color w:val="000000" w:themeColor="text1"/>
        </w:rPr>
      </w:pPr>
    </w:p>
    <w:p w14:paraId="2DA743FB" w14:textId="77777777" w:rsidR="00576819" w:rsidRPr="00576819" w:rsidRDefault="00576819" w:rsidP="005768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576819">
        <w:rPr>
          <w:rFonts w:asciiTheme="minorHAnsi" w:hAnsiTheme="minorHAnsi"/>
          <w:color w:val="000000" w:themeColor="text1"/>
        </w:rPr>
        <w:t>Transparent disclosure and reporting standards should apply to all public or private operations that provide public services and receive public funding, regardless of their operational structure.</w:t>
      </w:r>
    </w:p>
    <w:p w14:paraId="4DD25CD8" w14:textId="77777777" w:rsidR="00A360E7" w:rsidRPr="00576819" w:rsidRDefault="00A360E7" w:rsidP="00A360E7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</w:p>
    <w:p w14:paraId="37824422" w14:textId="02112D7A" w:rsidR="00991D04" w:rsidRDefault="00A360E7" w:rsidP="0057681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576819">
        <w:rPr>
          <w:rFonts w:asciiTheme="minorHAnsi" w:hAnsiTheme="minorHAnsi" w:cs="Arial"/>
          <w:color w:val="000000" w:themeColor="text1"/>
        </w:rPr>
        <w:t xml:space="preserve">Without these checks and balances the government </w:t>
      </w:r>
      <w:r w:rsidR="00576819" w:rsidRPr="00576819">
        <w:rPr>
          <w:rFonts w:asciiTheme="minorHAnsi" w:hAnsiTheme="minorHAnsi" w:cs="Arial"/>
          <w:color w:val="000000" w:themeColor="text1"/>
        </w:rPr>
        <w:t>can</w:t>
      </w:r>
      <w:r w:rsidRPr="00576819">
        <w:rPr>
          <w:rFonts w:asciiTheme="minorHAnsi" w:hAnsiTheme="minorHAnsi" w:cs="Arial"/>
          <w:color w:val="000000" w:themeColor="text1"/>
        </w:rPr>
        <w:t xml:space="preserve">not be held to account for its spending decisions. </w:t>
      </w:r>
    </w:p>
    <w:p w14:paraId="680A517F" w14:textId="6EE56D79" w:rsidR="00BB413E" w:rsidRDefault="00BB413E" w:rsidP="0057681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</w:p>
    <w:p w14:paraId="732D9584" w14:textId="2DD96C3F" w:rsidR="00BB413E" w:rsidRPr="00BB413E" w:rsidRDefault="00BB413E" w:rsidP="00BB413E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18"/>
          <w:szCs w:val="18"/>
        </w:rPr>
      </w:pPr>
      <w:bookmarkStart w:id="0" w:name="_GoBack"/>
      <w:bookmarkEnd w:id="0"/>
      <w:r w:rsidRPr="00BB413E">
        <w:rPr>
          <w:rFonts w:asciiTheme="minorHAnsi" w:hAnsiTheme="minorHAnsi" w:cs="Arial"/>
          <w:color w:val="000000" w:themeColor="text1"/>
          <w:sz w:val="18"/>
          <w:szCs w:val="18"/>
        </w:rPr>
        <w:t>cope491/</w:t>
      </w:r>
      <w:proofErr w:type="spellStart"/>
      <w:r w:rsidRPr="00BB413E">
        <w:rPr>
          <w:rFonts w:asciiTheme="minorHAnsi" w:hAnsiTheme="minorHAnsi" w:cs="Arial"/>
          <w:color w:val="000000" w:themeColor="text1"/>
          <w:sz w:val="18"/>
          <w:szCs w:val="18"/>
        </w:rPr>
        <w:t>sm</w:t>
      </w:r>
      <w:proofErr w:type="spellEnd"/>
    </w:p>
    <w:sectPr w:rsidR="00BB413E" w:rsidRPr="00BB413E" w:rsidSect="001A0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41B"/>
    <w:multiLevelType w:val="hybridMultilevel"/>
    <w:tmpl w:val="AE382D28"/>
    <w:lvl w:ilvl="0" w:tplc="916450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8B3"/>
    <w:multiLevelType w:val="hybridMultilevel"/>
    <w:tmpl w:val="34E8F46C"/>
    <w:lvl w:ilvl="0" w:tplc="916450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42923"/>
    <w:multiLevelType w:val="hybridMultilevel"/>
    <w:tmpl w:val="5FDC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E6142"/>
    <w:multiLevelType w:val="hybridMultilevel"/>
    <w:tmpl w:val="FA20407E"/>
    <w:lvl w:ilvl="0" w:tplc="916450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3C"/>
    <w:rsid w:val="001556AB"/>
    <w:rsid w:val="001A04D0"/>
    <w:rsid w:val="003B53C8"/>
    <w:rsid w:val="003C3C0D"/>
    <w:rsid w:val="00576819"/>
    <w:rsid w:val="005774C9"/>
    <w:rsid w:val="00623D37"/>
    <w:rsid w:val="00697A47"/>
    <w:rsid w:val="00852B1F"/>
    <w:rsid w:val="008F553C"/>
    <w:rsid w:val="00991D04"/>
    <w:rsid w:val="009C31DA"/>
    <w:rsid w:val="00A360E7"/>
    <w:rsid w:val="00A72D21"/>
    <w:rsid w:val="00BB413E"/>
    <w:rsid w:val="00E5786F"/>
    <w:rsid w:val="00EE4905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0A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B1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B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3C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633">
                  <w:marLeft w:val="0"/>
                  <w:marRight w:val="314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576">
                  <w:marLeft w:val="0"/>
                  <w:marRight w:val="3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Transparency and the right to know how our money is spent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McNeil</dc:creator>
  <cp:keywords/>
  <dc:description/>
  <cp:lastModifiedBy>Sandra McKinley</cp:lastModifiedBy>
  <cp:revision>2</cp:revision>
  <dcterms:created xsi:type="dcterms:W3CDTF">2018-11-22T14:30:00Z</dcterms:created>
  <dcterms:modified xsi:type="dcterms:W3CDTF">2018-11-22T14:30:00Z</dcterms:modified>
</cp:coreProperties>
</file>