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3D9FE1" w14:textId="3C928428" w:rsidR="00672870" w:rsidRPr="003A2524" w:rsidRDefault="003A2524">
      <w:pPr>
        <w:pStyle w:val="Normal1"/>
        <w:rPr>
          <w:lang w:val="fr-CA"/>
        </w:rPr>
      </w:pPr>
      <w:bookmarkStart w:id="0" w:name="_GoBack"/>
      <w:bookmarkEnd w:id="0"/>
      <w:r w:rsidRPr="003A2524">
        <w:rPr>
          <w:lang w:val="fr-CA"/>
        </w:rPr>
        <w:t>Communautés bleues : résolutions</w:t>
      </w:r>
      <w:r w:rsidR="00A84C16">
        <w:rPr>
          <w:lang w:val="fr-CA"/>
        </w:rPr>
        <w:t xml:space="preserve"> types</w:t>
      </w:r>
      <w:r w:rsidRPr="003A2524">
        <w:rPr>
          <w:lang w:val="fr-CA"/>
        </w:rPr>
        <w:t xml:space="preserve"> pour les municipalités</w:t>
      </w:r>
    </w:p>
    <w:p w14:paraId="192B4751" w14:textId="35A76E5D" w:rsidR="00672870" w:rsidRPr="003A2524" w:rsidRDefault="00672870">
      <w:pPr>
        <w:pStyle w:val="Normal1"/>
        <w:rPr>
          <w:lang w:val="fr-CA"/>
        </w:rPr>
      </w:pPr>
    </w:p>
    <w:p w14:paraId="5608026E" w14:textId="7341B355" w:rsidR="00672870" w:rsidRPr="003A2524" w:rsidRDefault="003A2524">
      <w:pPr>
        <w:pStyle w:val="Normal1"/>
        <w:rPr>
          <w:lang w:val="fr-CA"/>
        </w:rPr>
      </w:pPr>
      <w:r>
        <w:rPr>
          <w:b/>
          <w:lang w:val="fr-CA"/>
        </w:rPr>
        <w:t>Exemple de résolution pour reco</w:t>
      </w:r>
      <w:r w:rsidR="00701933">
        <w:rPr>
          <w:b/>
          <w:lang w:val="fr-CA"/>
        </w:rPr>
        <w:t>nnaître le droit à l’eau et aux services d’assainissement</w:t>
      </w:r>
    </w:p>
    <w:p w14:paraId="2A1ED0CA" w14:textId="77777777" w:rsidR="003A2524" w:rsidRDefault="003A2524">
      <w:pPr>
        <w:pStyle w:val="Normal1"/>
        <w:rPr>
          <w:lang w:val="fr-CA"/>
        </w:rPr>
      </w:pPr>
    </w:p>
    <w:p w14:paraId="7A9BF1C6" w14:textId="5728ECD3" w:rsidR="006A7B59" w:rsidRDefault="001C3A16" w:rsidP="001C3A16">
      <w:pPr>
        <w:pStyle w:val="Normal1"/>
        <w:rPr>
          <w:lang w:val="fr-CA"/>
        </w:rPr>
      </w:pPr>
      <w:r>
        <w:rPr>
          <w:lang w:val="fr-CA"/>
        </w:rPr>
        <w:t xml:space="preserve">ATTENDU </w:t>
      </w:r>
      <w:proofErr w:type="spellStart"/>
      <w:r>
        <w:rPr>
          <w:lang w:val="fr-CA"/>
        </w:rPr>
        <w:t>QU’</w:t>
      </w:r>
      <w:r w:rsidR="006A7B59">
        <w:rPr>
          <w:lang w:val="fr-CA"/>
        </w:rPr>
        <w:t>à</w:t>
      </w:r>
      <w:proofErr w:type="spellEnd"/>
      <w:r w:rsidR="006A7B59">
        <w:rPr>
          <w:lang w:val="fr-CA"/>
        </w:rPr>
        <w:t xml:space="preserve"> travers le monde, près de 750 millions de personnes n’ont pas accès à l’eau </w:t>
      </w:r>
      <w:r w:rsidR="006A7B59" w:rsidRPr="001C3A16">
        <w:rPr>
          <w:lang w:val="fr-CA"/>
        </w:rPr>
        <w:t xml:space="preserve">potable, </w:t>
      </w:r>
      <w:r w:rsidRPr="001C3A16">
        <w:rPr>
          <w:lang w:val="fr-CA"/>
        </w:rPr>
        <w:t xml:space="preserve">que quatre </w:t>
      </w:r>
      <w:r w:rsidR="006A7B59" w:rsidRPr="001C3A16">
        <w:rPr>
          <w:lang w:val="fr-CA"/>
        </w:rPr>
        <w:t>milliards</w:t>
      </w:r>
      <w:r w:rsidR="006A7B59">
        <w:rPr>
          <w:lang w:val="fr-CA"/>
        </w:rPr>
        <w:t xml:space="preserve"> de personnes font face à une grave pénurie d’eau</w:t>
      </w:r>
      <w:r w:rsidR="006A7B59">
        <w:rPr>
          <w:rFonts w:ascii="Calibri" w:hAnsi="Calibri" w:cs="Calibri"/>
          <w:lang w:val="fr-CA"/>
        </w:rPr>
        <w:t> </w:t>
      </w:r>
      <w:r w:rsidR="006A7B59">
        <w:rPr>
          <w:lang w:val="fr-CA"/>
        </w:rPr>
        <w:t xml:space="preserve">et </w:t>
      </w:r>
      <w:r>
        <w:rPr>
          <w:lang w:val="fr-CA"/>
        </w:rPr>
        <w:t>que</w:t>
      </w:r>
      <w:r w:rsidR="006A7B59">
        <w:rPr>
          <w:lang w:val="fr-CA"/>
        </w:rPr>
        <w:t xml:space="preserve"> 2,5 milliards de personnes n’ont pas accès à des services d’assainissement adéquats;</w:t>
      </w:r>
    </w:p>
    <w:p w14:paraId="64071F72" w14:textId="004E3E65" w:rsidR="001C3A16" w:rsidRDefault="001C3A16" w:rsidP="001C3A16">
      <w:pPr>
        <w:pStyle w:val="Normal1"/>
        <w:rPr>
          <w:lang w:val="fr-CA"/>
        </w:rPr>
      </w:pPr>
    </w:p>
    <w:p w14:paraId="4B97353C" w14:textId="21E89B15" w:rsidR="006A7B59" w:rsidRDefault="001C3A16" w:rsidP="001C3A16">
      <w:pPr>
        <w:pStyle w:val="Normal1"/>
        <w:rPr>
          <w:lang w:val="fr-CA"/>
        </w:rPr>
      </w:pPr>
      <w:r>
        <w:rPr>
          <w:lang w:val="fr-CA"/>
        </w:rPr>
        <w:t>ATTENDU QU’</w:t>
      </w:r>
      <w:r w:rsidR="006A7B59">
        <w:rPr>
          <w:lang w:val="fr-CA"/>
        </w:rPr>
        <w:t xml:space="preserve">au Canada, un nombre disproportionné de communautés autochtones n’ont pas accès à l’eau potable et </w:t>
      </w:r>
      <w:r w:rsidR="00701933">
        <w:rPr>
          <w:lang w:val="fr-CA"/>
        </w:rPr>
        <w:t>aux</w:t>
      </w:r>
      <w:r w:rsidR="006A7B59">
        <w:rPr>
          <w:lang w:val="fr-CA"/>
        </w:rPr>
        <w:t xml:space="preserve"> services d’assainissement;</w:t>
      </w:r>
    </w:p>
    <w:p w14:paraId="27E39BA5" w14:textId="61D6CD93" w:rsidR="001C3A16" w:rsidRDefault="001C3A16" w:rsidP="001C3A16">
      <w:pPr>
        <w:pStyle w:val="Normal1"/>
        <w:rPr>
          <w:lang w:val="fr-CA"/>
        </w:rPr>
      </w:pPr>
    </w:p>
    <w:p w14:paraId="02E225D4" w14:textId="739243FA" w:rsidR="006A7B59" w:rsidRDefault="001C3A16" w:rsidP="001C3A16">
      <w:pPr>
        <w:pStyle w:val="Normal1"/>
        <w:rPr>
          <w:lang w:val="fr-CA"/>
        </w:rPr>
      </w:pPr>
      <w:r>
        <w:rPr>
          <w:lang w:val="fr-CA"/>
        </w:rPr>
        <w:t xml:space="preserve">ATTENDU QUE </w:t>
      </w:r>
      <w:r w:rsidR="006A7B59">
        <w:rPr>
          <w:lang w:val="fr-CA"/>
        </w:rPr>
        <w:t xml:space="preserve">l’Assemblée générale des Nations Unies </w:t>
      </w:r>
      <w:r>
        <w:rPr>
          <w:lang w:val="fr-CA"/>
        </w:rPr>
        <w:t xml:space="preserve">a </w:t>
      </w:r>
      <w:r w:rsidR="006A7B59">
        <w:rPr>
          <w:lang w:val="fr-CA"/>
        </w:rPr>
        <w:t>adopt</w:t>
      </w:r>
      <w:r>
        <w:rPr>
          <w:lang w:val="fr-CA"/>
        </w:rPr>
        <w:t xml:space="preserve">é le 28 juillet 2010 </w:t>
      </w:r>
      <w:r w:rsidR="006A7B59">
        <w:rPr>
          <w:lang w:val="fr-CA"/>
        </w:rPr>
        <w:t xml:space="preserve">une résolution reconnaissant le droit à l’eau et </w:t>
      </w:r>
      <w:r w:rsidR="00475C2E">
        <w:rPr>
          <w:lang w:val="fr-CA"/>
        </w:rPr>
        <w:t>aux</w:t>
      </w:r>
      <w:r w:rsidR="006A7B59">
        <w:rPr>
          <w:lang w:val="fr-CA"/>
        </w:rPr>
        <w:t xml:space="preserve"> services d’assainissement;</w:t>
      </w:r>
    </w:p>
    <w:p w14:paraId="76ED185C" w14:textId="00CC72A5" w:rsidR="001C3A16" w:rsidRDefault="001C3A16" w:rsidP="001C3A16">
      <w:pPr>
        <w:pStyle w:val="Normal1"/>
        <w:rPr>
          <w:lang w:val="fr-CA"/>
        </w:rPr>
      </w:pPr>
    </w:p>
    <w:p w14:paraId="38D1E020" w14:textId="31943B0A" w:rsidR="006A7B59" w:rsidRDefault="001C3A16" w:rsidP="001C3A16">
      <w:pPr>
        <w:pStyle w:val="Normal1"/>
        <w:rPr>
          <w:lang w:val="fr-CA"/>
        </w:rPr>
      </w:pPr>
      <w:r>
        <w:rPr>
          <w:lang w:val="fr-CA"/>
        </w:rPr>
        <w:t>ATTEN</w:t>
      </w:r>
      <w:r w:rsidRPr="007A058E">
        <w:rPr>
          <w:lang w:val="fr-CA"/>
        </w:rPr>
        <w:t xml:space="preserve">DU QUE </w:t>
      </w:r>
      <w:r w:rsidR="006A7B59" w:rsidRPr="007A058E">
        <w:rPr>
          <w:lang w:val="fr-CA"/>
        </w:rPr>
        <w:t xml:space="preserve">le Conseil des droits de l’homme des Nations Unies </w:t>
      </w:r>
      <w:r w:rsidRPr="007A058E">
        <w:rPr>
          <w:lang w:val="fr-CA"/>
        </w:rPr>
        <w:t xml:space="preserve">a </w:t>
      </w:r>
      <w:r w:rsidR="006A7B59" w:rsidRPr="007A058E">
        <w:rPr>
          <w:lang w:val="fr-CA"/>
        </w:rPr>
        <w:t>adopt</w:t>
      </w:r>
      <w:r w:rsidRPr="007A058E">
        <w:rPr>
          <w:lang w:val="fr-CA"/>
        </w:rPr>
        <w:t xml:space="preserve">é le 23 septembre 2011 </w:t>
      </w:r>
      <w:r w:rsidR="006A7B59" w:rsidRPr="007A058E">
        <w:rPr>
          <w:lang w:val="fr-CA"/>
        </w:rPr>
        <w:t>une</w:t>
      </w:r>
      <w:r w:rsidR="006A7B59">
        <w:rPr>
          <w:lang w:val="fr-CA"/>
        </w:rPr>
        <w:t xml:space="preserve"> résolution sur le droit à l’eau potable et aux services d’assainissement, </w:t>
      </w:r>
      <w:r>
        <w:rPr>
          <w:lang w:val="fr-CA"/>
        </w:rPr>
        <w:t>qui demande</w:t>
      </w:r>
      <w:r w:rsidR="006A7B59">
        <w:rPr>
          <w:lang w:val="fr-CA"/>
        </w:rPr>
        <w:t xml:space="preserve"> aux gouvernements d’agir concrètement en se dotant de plans d’action, en mettant en place des mécanismes de surveillance et de reddition de comptes et en assurant l’accès à</w:t>
      </w:r>
      <w:r>
        <w:rPr>
          <w:lang w:val="fr-CA"/>
        </w:rPr>
        <w:t xml:space="preserve"> des </w:t>
      </w:r>
      <w:r w:rsidR="006A7B59">
        <w:rPr>
          <w:lang w:val="fr-CA"/>
        </w:rPr>
        <w:t>services abordables à toute leur population;</w:t>
      </w:r>
    </w:p>
    <w:p w14:paraId="1F7D51A7" w14:textId="25B22A11" w:rsidR="001C3A16" w:rsidRDefault="001C3A16" w:rsidP="001C3A16">
      <w:pPr>
        <w:pStyle w:val="Normal1"/>
        <w:rPr>
          <w:lang w:val="fr-CA"/>
        </w:rPr>
      </w:pPr>
    </w:p>
    <w:p w14:paraId="6690089C" w14:textId="77DC873C" w:rsidR="006A7B59" w:rsidRDefault="001C3A16" w:rsidP="001C3A16">
      <w:pPr>
        <w:pStyle w:val="Normal1"/>
        <w:rPr>
          <w:lang w:val="fr-CA"/>
        </w:rPr>
      </w:pPr>
      <w:r>
        <w:rPr>
          <w:lang w:val="fr-CA"/>
        </w:rPr>
        <w:t xml:space="preserve">ATTENDU QUE </w:t>
      </w:r>
      <w:r w:rsidR="006A7B59">
        <w:rPr>
          <w:lang w:val="fr-CA"/>
        </w:rPr>
        <w:t>le Syndicat canadien de la fonction publique et le Conseil des Canadiens ont demandé aux municipalités canadiennes de les aider à convaincre le gouvernement fédéral de protéger le droit à l’eau et aux services d’assainissement;</w:t>
      </w:r>
    </w:p>
    <w:p w14:paraId="5A852671" w14:textId="41209CCF" w:rsidR="001C3A16" w:rsidRDefault="001C3A16" w:rsidP="001C3A16">
      <w:pPr>
        <w:pStyle w:val="Normal1"/>
        <w:rPr>
          <w:lang w:val="fr-CA"/>
        </w:rPr>
      </w:pPr>
    </w:p>
    <w:p w14:paraId="4E4EE76B" w14:textId="61DDBBB1" w:rsidR="006A7B59" w:rsidRPr="006A7B59" w:rsidRDefault="001C3A16" w:rsidP="001C3A16">
      <w:pPr>
        <w:pStyle w:val="Normal1"/>
        <w:rPr>
          <w:lang w:val="fr-CA"/>
        </w:rPr>
      </w:pPr>
      <w:r>
        <w:rPr>
          <w:lang w:val="fr-CA"/>
        </w:rPr>
        <w:t xml:space="preserve">ATTENDU QUE </w:t>
      </w:r>
      <w:r w:rsidR="006A7B59">
        <w:rPr>
          <w:lang w:val="fr-CA"/>
        </w:rPr>
        <w:t>la reconnaissance du droit à l’eau et aux services d’assainissement est l’une des trois étapes requises pour que [</w:t>
      </w:r>
      <w:r w:rsidR="006A7B59">
        <w:rPr>
          <w:i/>
          <w:lang w:val="fr-CA"/>
        </w:rPr>
        <w:t>nom de la municipalité</w:t>
      </w:r>
      <w:r w:rsidR="006A7B59">
        <w:rPr>
          <w:lang w:val="fr-CA"/>
        </w:rPr>
        <w:t>] puisse obtenir le titre de Communauté bleue.</w:t>
      </w:r>
    </w:p>
    <w:p w14:paraId="53C78FC1" w14:textId="77777777" w:rsidR="006A7B59" w:rsidRDefault="006A7B59" w:rsidP="003A2524">
      <w:pPr>
        <w:pStyle w:val="Normal1"/>
        <w:rPr>
          <w:lang w:val="fr-CA"/>
        </w:rPr>
      </w:pPr>
    </w:p>
    <w:p w14:paraId="597127FD" w14:textId="623D01E1" w:rsidR="00475C2E" w:rsidRDefault="001C3A16" w:rsidP="00701933">
      <w:pPr>
        <w:pStyle w:val="Normal1"/>
        <w:rPr>
          <w:lang w:val="fr-CA"/>
        </w:rPr>
      </w:pPr>
      <w:r>
        <w:rPr>
          <w:lang w:val="fr-CA"/>
        </w:rPr>
        <w:t xml:space="preserve">QU’IL SOIT RÉSOLU QUE </w:t>
      </w:r>
      <w:r w:rsidR="003A2524">
        <w:rPr>
          <w:lang w:val="fr-CA"/>
        </w:rPr>
        <w:t>[</w:t>
      </w:r>
      <w:r w:rsidR="003A2524">
        <w:rPr>
          <w:i/>
          <w:lang w:val="fr-CA"/>
        </w:rPr>
        <w:t>Nom de la municipalité</w:t>
      </w:r>
      <w:r>
        <w:rPr>
          <w:lang w:val="fr-CA"/>
        </w:rPr>
        <w:t>]</w:t>
      </w:r>
      <w:r w:rsidR="00701933">
        <w:rPr>
          <w:lang w:val="fr-CA"/>
        </w:rPr>
        <w:t> </w:t>
      </w:r>
      <w:r>
        <w:rPr>
          <w:lang w:val="fr-CA"/>
        </w:rPr>
        <w:t>reconnaisse et affirme</w:t>
      </w:r>
      <w:r w:rsidR="003A2524">
        <w:rPr>
          <w:lang w:val="fr-CA"/>
        </w:rPr>
        <w:t xml:space="preserve"> </w:t>
      </w:r>
      <w:r>
        <w:rPr>
          <w:lang w:val="fr-CA"/>
        </w:rPr>
        <w:t xml:space="preserve">que </w:t>
      </w:r>
      <w:r w:rsidR="003A2524">
        <w:rPr>
          <w:lang w:val="fr-CA"/>
        </w:rPr>
        <w:t>le droit à l’eau et aux services d’assainissement</w:t>
      </w:r>
      <w:r w:rsidR="00300AEB">
        <w:rPr>
          <w:rFonts w:ascii="Calibri" w:hAnsi="Calibri" w:cs="Calibri"/>
          <w:lang w:val="fr-CA"/>
        </w:rPr>
        <w:t> </w:t>
      </w:r>
      <w:r w:rsidR="00475C2E">
        <w:rPr>
          <w:lang w:val="fr-CA"/>
        </w:rPr>
        <w:t>est un droit de la personne;</w:t>
      </w:r>
    </w:p>
    <w:p w14:paraId="0A76B74B" w14:textId="5A29142B" w:rsidR="00701933" w:rsidRDefault="00701933" w:rsidP="00701933">
      <w:pPr>
        <w:pStyle w:val="Normal1"/>
        <w:rPr>
          <w:lang w:val="fr-CA"/>
        </w:rPr>
      </w:pPr>
    </w:p>
    <w:p w14:paraId="66860917" w14:textId="597E1158" w:rsidR="003A2524" w:rsidRDefault="00701933" w:rsidP="00701933">
      <w:pPr>
        <w:pStyle w:val="Normal1"/>
        <w:rPr>
          <w:lang w:val="fr-CA"/>
        </w:rPr>
      </w:pPr>
      <w:r>
        <w:rPr>
          <w:lang w:val="fr-CA"/>
        </w:rPr>
        <w:t>QU’IL SOIT EN OUTRE RÉSOLU QUE [</w:t>
      </w:r>
      <w:r>
        <w:rPr>
          <w:i/>
          <w:lang w:val="fr-CA"/>
        </w:rPr>
        <w:t>Nom de la municipalité</w:t>
      </w:r>
      <w:r>
        <w:rPr>
          <w:lang w:val="fr-CA"/>
        </w:rPr>
        <w:t>] </w:t>
      </w:r>
      <w:r w:rsidR="00475C2E">
        <w:rPr>
          <w:lang w:val="fr-CA"/>
        </w:rPr>
        <w:t>demande aux gouvernements fédéral et provincia</w:t>
      </w:r>
      <w:r w:rsidR="00A902F0">
        <w:rPr>
          <w:lang w:val="fr-CA"/>
        </w:rPr>
        <w:t>l</w:t>
      </w:r>
      <w:r w:rsidR="00475C2E">
        <w:rPr>
          <w:lang w:val="fr-CA"/>
        </w:rPr>
        <w:t xml:space="preserve"> d’enchâsser</w:t>
      </w:r>
      <w:r w:rsidR="003A2524">
        <w:rPr>
          <w:lang w:val="fr-CA"/>
        </w:rPr>
        <w:t xml:space="preserve"> le droit à l’eau et </w:t>
      </w:r>
      <w:r w:rsidR="00D426D6">
        <w:rPr>
          <w:lang w:val="fr-CA"/>
        </w:rPr>
        <w:t>aux services d</w:t>
      </w:r>
      <w:r w:rsidR="00475C2E">
        <w:rPr>
          <w:lang w:val="fr-CA"/>
        </w:rPr>
        <w:t>’assainissement dans leurs lois respectives</w:t>
      </w:r>
      <w:r w:rsidR="00300AEB">
        <w:rPr>
          <w:lang w:val="fr-CA"/>
        </w:rPr>
        <w:t>;</w:t>
      </w:r>
    </w:p>
    <w:p w14:paraId="019992C7" w14:textId="7BA0802E" w:rsidR="00701933" w:rsidRDefault="00701933" w:rsidP="00701933">
      <w:pPr>
        <w:pStyle w:val="Normal1"/>
        <w:rPr>
          <w:lang w:val="fr-CA"/>
        </w:rPr>
      </w:pPr>
    </w:p>
    <w:p w14:paraId="46A57F77" w14:textId="6F0EA817" w:rsidR="003A2524" w:rsidRPr="006A7B59" w:rsidRDefault="00701933" w:rsidP="00701933">
      <w:pPr>
        <w:pStyle w:val="Normal1"/>
        <w:rPr>
          <w:lang w:val="fr-CA"/>
        </w:rPr>
      </w:pPr>
      <w:r>
        <w:rPr>
          <w:lang w:val="fr-CA"/>
        </w:rPr>
        <w:t>QU’IL SOIT EN OUTRE RÉSOLU QUE [</w:t>
      </w:r>
      <w:r>
        <w:rPr>
          <w:i/>
          <w:lang w:val="fr-CA"/>
        </w:rPr>
        <w:t>Nom de la municipalité</w:t>
      </w:r>
      <w:r>
        <w:rPr>
          <w:lang w:val="fr-CA"/>
        </w:rPr>
        <w:t>] </w:t>
      </w:r>
      <w:r w:rsidR="00475C2E">
        <w:rPr>
          <w:lang w:val="fr-CA"/>
        </w:rPr>
        <w:t xml:space="preserve">demande au gouvernement fédéral de </w:t>
      </w:r>
      <w:r w:rsidR="003A2524">
        <w:rPr>
          <w:lang w:val="fr-CA"/>
        </w:rPr>
        <w:t>se dote</w:t>
      </w:r>
      <w:r w:rsidR="00475C2E">
        <w:rPr>
          <w:lang w:val="fr-CA"/>
        </w:rPr>
        <w:t>r</w:t>
      </w:r>
      <w:r w:rsidR="003A2524">
        <w:rPr>
          <w:lang w:val="fr-CA"/>
        </w:rPr>
        <w:t xml:space="preserve"> d’un plan national d’action en vue de faire r</w:t>
      </w:r>
      <w:r w:rsidR="00D426D6">
        <w:rPr>
          <w:lang w:val="fr-CA"/>
        </w:rPr>
        <w:t>especter le droit à l’eau et aux services d</w:t>
      </w:r>
      <w:r w:rsidR="003A2524">
        <w:rPr>
          <w:lang w:val="fr-CA"/>
        </w:rPr>
        <w:t>’assainissement.</w:t>
      </w:r>
    </w:p>
    <w:p w14:paraId="5617D1FE" w14:textId="77777777" w:rsidR="003A2524" w:rsidRDefault="003A2524">
      <w:pPr>
        <w:pStyle w:val="Normal1"/>
        <w:rPr>
          <w:lang w:val="fr-CA"/>
        </w:rPr>
      </w:pPr>
    </w:p>
    <w:p w14:paraId="2F352DC9" w14:textId="77777777" w:rsidR="00672870" w:rsidRPr="003A2524" w:rsidRDefault="00D27363">
      <w:pPr>
        <w:pStyle w:val="Normal1"/>
        <w:rPr>
          <w:lang w:val="fr-CA"/>
        </w:rPr>
      </w:pPr>
      <w:r w:rsidRPr="003A2524">
        <w:rPr>
          <w:lang w:val="fr-CA"/>
        </w:rPr>
        <w:br w:type="page"/>
      </w:r>
    </w:p>
    <w:p w14:paraId="5F6778C8" w14:textId="790F2DB4" w:rsidR="00672870" w:rsidRPr="003A2524" w:rsidRDefault="00FF08EF">
      <w:pPr>
        <w:pStyle w:val="Normal1"/>
        <w:rPr>
          <w:lang w:val="fr-CA"/>
        </w:rPr>
      </w:pPr>
      <w:r w:rsidRPr="00701933">
        <w:rPr>
          <w:b/>
          <w:lang w:val="fr-CA"/>
        </w:rPr>
        <w:lastRenderedPageBreak/>
        <w:t xml:space="preserve">Exemple de résolution pour bannir ou éliminer graduellement la vente d’eau embouteillée dans les installations </w:t>
      </w:r>
      <w:r w:rsidR="00701933" w:rsidRPr="00701933">
        <w:rPr>
          <w:b/>
          <w:lang w:val="fr-CA"/>
        </w:rPr>
        <w:t>municipales et lors d</w:t>
      </w:r>
      <w:r w:rsidRPr="00701933">
        <w:rPr>
          <w:b/>
          <w:lang w:val="fr-CA"/>
        </w:rPr>
        <w:t>es activités municipales</w:t>
      </w:r>
    </w:p>
    <w:p w14:paraId="1F918313" w14:textId="6D592910" w:rsidR="00672870" w:rsidRPr="003A2524" w:rsidRDefault="00672870">
      <w:pPr>
        <w:pStyle w:val="Normal1"/>
        <w:rPr>
          <w:lang w:val="fr-CA"/>
        </w:rPr>
      </w:pPr>
    </w:p>
    <w:p w14:paraId="73AA1B3D" w14:textId="10892960" w:rsidR="006A7B59" w:rsidRDefault="00701933" w:rsidP="00701933">
      <w:pPr>
        <w:pStyle w:val="Normal1"/>
        <w:rPr>
          <w:lang w:val="fr-CA"/>
        </w:rPr>
      </w:pPr>
      <w:r>
        <w:rPr>
          <w:lang w:val="fr-CA"/>
        </w:rPr>
        <w:t xml:space="preserve">ATTENDU QUE </w:t>
      </w:r>
      <w:r w:rsidR="006A7B59">
        <w:rPr>
          <w:lang w:val="fr-CA"/>
        </w:rPr>
        <w:t>[</w:t>
      </w:r>
      <w:r w:rsidR="006A7B59">
        <w:rPr>
          <w:i/>
          <w:lang w:val="fr-CA"/>
        </w:rPr>
        <w:t>Nom de la municipalité</w:t>
      </w:r>
      <w:r w:rsidR="006A7B59">
        <w:rPr>
          <w:lang w:val="fr-CA"/>
        </w:rPr>
        <w:t xml:space="preserve">] exploite et entretient un système </w:t>
      </w:r>
      <w:r w:rsidR="0012139B">
        <w:rPr>
          <w:lang w:val="fr-CA"/>
        </w:rPr>
        <w:t xml:space="preserve">sophistiqué et réglementé </w:t>
      </w:r>
      <w:r w:rsidR="006A7B59">
        <w:rPr>
          <w:lang w:val="fr-CA"/>
        </w:rPr>
        <w:t>de traitement et de distribution de l’eau potable qui répond à des normes de qualité parmi les plus strictes au monde;</w:t>
      </w:r>
    </w:p>
    <w:p w14:paraId="7A705C89" w14:textId="439AE2E3" w:rsidR="00B339F6" w:rsidRDefault="00B339F6" w:rsidP="00701933">
      <w:pPr>
        <w:pStyle w:val="Normal1"/>
        <w:rPr>
          <w:lang w:val="fr-CA"/>
        </w:rPr>
      </w:pPr>
    </w:p>
    <w:p w14:paraId="5FE3E44D" w14:textId="79050457" w:rsidR="006A7B59" w:rsidRDefault="00B339F6" w:rsidP="00B339F6">
      <w:pPr>
        <w:pStyle w:val="Normal1"/>
        <w:rPr>
          <w:lang w:val="fr-CA"/>
        </w:rPr>
      </w:pPr>
      <w:r>
        <w:rPr>
          <w:lang w:val="fr-CA"/>
        </w:rPr>
        <w:t xml:space="preserve">ATTENDU QUE </w:t>
      </w:r>
      <w:r w:rsidR="006A7B59">
        <w:rPr>
          <w:lang w:val="fr-CA"/>
        </w:rPr>
        <w:t>la réglementation entourant la qualité de l’eau embouteillée n’est pas aussi stricte que celle que doit respecter [</w:t>
      </w:r>
      <w:r w:rsidR="006A7B59">
        <w:rPr>
          <w:i/>
          <w:lang w:val="fr-CA"/>
        </w:rPr>
        <w:t>nom de la municipalité</w:t>
      </w:r>
      <w:r w:rsidR="006A7B59">
        <w:rPr>
          <w:lang w:val="fr-CA"/>
        </w:rPr>
        <w:t>];</w:t>
      </w:r>
    </w:p>
    <w:p w14:paraId="0EB407A2" w14:textId="2B958BD9" w:rsidR="00B339F6" w:rsidRDefault="00B339F6" w:rsidP="00B339F6">
      <w:pPr>
        <w:pStyle w:val="Normal1"/>
        <w:rPr>
          <w:lang w:val="fr-CA"/>
        </w:rPr>
      </w:pPr>
    </w:p>
    <w:p w14:paraId="44BA429A" w14:textId="50846DD9" w:rsidR="006A7B59" w:rsidRDefault="00B339F6" w:rsidP="00B339F6">
      <w:pPr>
        <w:pStyle w:val="Normal1"/>
        <w:rPr>
          <w:lang w:val="fr-CA"/>
        </w:rPr>
      </w:pPr>
      <w:r>
        <w:rPr>
          <w:lang w:val="fr-CA"/>
        </w:rPr>
        <w:t xml:space="preserve">ATTENDU QUE </w:t>
      </w:r>
      <w:r w:rsidR="006A7B59">
        <w:rPr>
          <w:lang w:val="fr-CA"/>
        </w:rPr>
        <w:t>l’eau embouteillée est jusqu’à 3000 fois plus coûteuse que l’eau du robinet à [</w:t>
      </w:r>
      <w:r w:rsidR="006A7B59">
        <w:rPr>
          <w:i/>
          <w:lang w:val="fr-CA"/>
        </w:rPr>
        <w:t>nom de la municipalité</w:t>
      </w:r>
      <w:r w:rsidR="006A7B59">
        <w:rPr>
          <w:lang w:val="fr-CA"/>
        </w:rPr>
        <w:t xml:space="preserve">], </w:t>
      </w:r>
      <w:r>
        <w:rPr>
          <w:lang w:val="fr-CA"/>
        </w:rPr>
        <w:t xml:space="preserve">et ce, </w:t>
      </w:r>
      <w:r w:rsidR="006A7B59">
        <w:rPr>
          <w:lang w:val="fr-CA"/>
        </w:rPr>
        <w:t>même si l’eau embouteillée provient parfois d’un aqueduc municipal;</w:t>
      </w:r>
    </w:p>
    <w:p w14:paraId="059828C3" w14:textId="39608061" w:rsidR="00B339F6" w:rsidRDefault="00B339F6" w:rsidP="00B339F6">
      <w:pPr>
        <w:pStyle w:val="Normal1"/>
        <w:rPr>
          <w:lang w:val="fr-CA"/>
        </w:rPr>
      </w:pPr>
    </w:p>
    <w:p w14:paraId="3899E59D" w14:textId="0376FB92" w:rsidR="006A7B59" w:rsidRDefault="00B339F6" w:rsidP="00B339F6">
      <w:pPr>
        <w:pStyle w:val="Normal1"/>
        <w:rPr>
          <w:lang w:val="fr-CA"/>
        </w:rPr>
      </w:pPr>
      <w:r>
        <w:rPr>
          <w:lang w:val="fr-CA"/>
        </w:rPr>
        <w:t xml:space="preserve">ATTENDU QUE le pompage de la ressource, l’emballage et la distribution </w:t>
      </w:r>
      <w:r w:rsidR="006A7B59">
        <w:rPr>
          <w:lang w:val="fr-CA"/>
        </w:rPr>
        <w:t>de</w:t>
      </w:r>
      <w:r>
        <w:rPr>
          <w:lang w:val="fr-CA"/>
        </w:rPr>
        <w:t>s</w:t>
      </w:r>
      <w:r w:rsidR="006A7B59">
        <w:rPr>
          <w:lang w:val="fr-CA"/>
        </w:rPr>
        <w:t xml:space="preserve"> bouteilles d’eau jetables ont </w:t>
      </w:r>
      <w:r>
        <w:rPr>
          <w:lang w:val="fr-CA"/>
        </w:rPr>
        <w:t>des répercussions négatives</w:t>
      </w:r>
      <w:r w:rsidR="006A7B59">
        <w:rPr>
          <w:lang w:val="fr-CA"/>
        </w:rPr>
        <w:t xml:space="preserve"> sur la qu</w:t>
      </w:r>
      <w:r>
        <w:rPr>
          <w:lang w:val="fr-CA"/>
        </w:rPr>
        <w:t>alité de l’air et le climat</w:t>
      </w:r>
      <w:r w:rsidR="006A7B59">
        <w:rPr>
          <w:lang w:val="fr-CA"/>
        </w:rPr>
        <w:t xml:space="preserve">, </w:t>
      </w:r>
      <w:r>
        <w:rPr>
          <w:lang w:val="fr-CA"/>
        </w:rPr>
        <w:t>qu’ils entraînent une utilisation inutile des ressources</w:t>
      </w:r>
      <w:r w:rsidR="006A7B59">
        <w:rPr>
          <w:lang w:val="fr-CA"/>
        </w:rPr>
        <w:t>, comme le pétrole qui entre dans la fabrication des bouteilles en plastique et le carburant nécessaire à l’acheminement des bouteilles d’eau jusqu’aux consommateurs, et</w:t>
      </w:r>
      <w:r>
        <w:rPr>
          <w:lang w:val="fr-CA"/>
        </w:rPr>
        <w:t xml:space="preserve"> qu</w:t>
      </w:r>
      <w:r w:rsidR="0012139B">
        <w:rPr>
          <w:lang w:val="fr-CA"/>
        </w:rPr>
        <w:t xml:space="preserve">e le recyclage et l’élimination des bouteilles </w:t>
      </w:r>
      <w:r>
        <w:rPr>
          <w:lang w:val="fr-CA"/>
        </w:rPr>
        <w:t>engendrent</w:t>
      </w:r>
      <w:r w:rsidR="0012139B">
        <w:rPr>
          <w:lang w:val="fr-CA"/>
        </w:rPr>
        <w:t xml:space="preserve"> des coûts inutiles</w:t>
      </w:r>
      <w:r w:rsidR="006A7B59">
        <w:rPr>
          <w:lang w:val="fr-CA"/>
        </w:rPr>
        <w:t>;</w:t>
      </w:r>
    </w:p>
    <w:p w14:paraId="17D3CFEA" w14:textId="33DBFE3A" w:rsidR="00B339F6" w:rsidRDefault="00B339F6" w:rsidP="00B339F6">
      <w:pPr>
        <w:pStyle w:val="Normal1"/>
        <w:rPr>
          <w:lang w:val="fr-CA"/>
        </w:rPr>
      </w:pPr>
    </w:p>
    <w:p w14:paraId="030A7F72" w14:textId="069DCC6F" w:rsidR="006A7B59" w:rsidRDefault="00B339F6" w:rsidP="00B339F6">
      <w:pPr>
        <w:pStyle w:val="Normal1"/>
        <w:rPr>
          <w:lang w:val="fr-CA"/>
        </w:rPr>
      </w:pPr>
      <w:r>
        <w:rPr>
          <w:lang w:val="fr-CA"/>
        </w:rPr>
        <w:t>ATTENDU QUE l</w:t>
      </w:r>
      <w:r w:rsidR="006A7B59">
        <w:rPr>
          <w:lang w:val="fr-CA"/>
        </w:rPr>
        <w:t>’eau du robinet de [</w:t>
      </w:r>
      <w:r w:rsidR="006A7B59">
        <w:rPr>
          <w:i/>
          <w:lang w:val="fr-CA"/>
        </w:rPr>
        <w:t>nom de la municipalité</w:t>
      </w:r>
      <w:r>
        <w:rPr>
          <w:lang w:val="fr-CA"/>
        </w:rPr>
        <w:t>] est sécuritaire</w:t>
      </w:r>
      <w:r w:rsidR="006A7B59">
        <w:rPr>
          <w:lang w:val="fr-CA"/>
        </w:rPr>
        <w:t>, saine et accessible à la population et aux visiteurs</w:t>
      </w:r>
      <w:r>
        <w:rPr>
          <w:lang w:val="fr-CA"/>
        </w:rPr>
        <w:t>, qu’</w:t>
      </w:r>
      <w:r w:rsidR="006A7B59">
        <w:rPr>
          <w:lang w:val="fr-CA"/>
        </w:rPr>
        <w:t xml:space="preserve">elle est déjà accessible dans la plupart des installations publiques intérieures et </w:t>
      </w:r>
      <w:r>
        <w:rPr>
          <w:lang w:val="fr-CA"/>
        </w:rPr>
        <w:t xml:space="preserve">qu’elle est nettement plus respectueuse de l’environnement </w:t>
      </w:r>
      <w:r w:rsidR="006A7B59">
        <w:rPr>
          <w:lang w:val="fr-CA"/>
        </w:rPr>
        <w:t>que l’eau embouteillée;</w:t>
      </w:r>
    </w:p>
    <w:p w14:paraId="6AE567F7" w14:textId="7DD2518F" w:rsidR="00B339F6" w:rsidRDefault="00B339F6" w:rsidP="00B339F6">
      <w:pPr>
        <w:pStyle w:val="Normal1"/>
        <w:rPr>
          <w:lang w:val="fr-CA"/>
        </w:rPr>
      </w:pPr>
    </w:p>
    <w:p w14:paraId="44C7EFDC" w14:textId="6EB8813C" w:rsidR="006A7B59" w:rsidRDefault="00B339F6" w:rsidP="00B339F6">
      <w:pPr>
        <w:pStyle w:val="Normal1"/>
        <w:rPr>
          <w:lang w:val="fr-CA"/>
        </w:rPr>
      </w:pPr>
      <w:r>
        <w:rPr>
          <w:lang w:val="fr-CA"/>
        </w:rPr>
        <w:t>ATTENDU QU’</w:t>
      </w:r>
      <w:r w:rsidR="006A7B59">
        <w:rPr>
          <w:lang w:val="fr-CA"/>
        </w:rPr>
        <w:t>en l’absence d’un accès à l’eau potable municipale, l’eau embouteillée peut représenter une solution de rechange adéquate;</w:t>
      </w:r>
    </w:p>
    <w:p w14:paraId="69A5732D" w14:textId="0B407B5D" w:rsidR="00E81694" w:rsidRDefault="00E81694" w:rsidP="00B339F6">
      <w:pPr>
        <w:pStyle w:val="Normal1"/>
        <w:rPr>
          <w:lang w:val="fr-CA"/>
        </w:rPr>
      </w:pPr>
    </w:p>
    <w:p w14:paraId="7B36DA1C" w14:textId="3F7F5AC7" w:rsidR="006A7B59" w:rsidRPr="006A7B59" w:rsidRDefault="00E81694" w:rsidP="00E81694">
      <w:pPr>
        <w:pStyle w:val="Normal1"/>
        <w:rPr>
          <w:lang w:val="fr-CA"/>
        </w:rPr>
      </w:pPr>
      <w:r>
        <w:rPr>
          <w:lang w:val="fr-CA"/>
        </w:rPr>
        <w:t xml:space="preserve">ATTENDU QUE </w:t>
      </w:r>
      <w:r w:rsidR="006A7B59">
        <w:rPr>
          <w:lang w:val="fr-CA"/>
        </w:rPr>
        <w:t>l’interdiction d</w:t>
      </w:r>
      <w:r>
        <w:rPr>
          <w:lang w:val="fr-CA"/>
        </w:rPr>
        <w:t>e la vente et de la distribution</w:t>
      </w:r>
      <w:r w:rsidR="006A7B59">
        <w:rPr>
          <w:lang w:val="fr-CA"/>
        </w:rPr>
        <w:t xml:space="preserve"> d’eau embouteillée dans les installations </w:t>
      </w:r>
      <w:r>
        <w:rPr>
          <w:lang w:val="fr-CA"/>
        </w:rPr>
        <w:t>municipales et lors des</w:t>
      </w:r>
      <w:r w:rsidR="006A7B59">
        <w:rPr>
          <w:lang w:val="fr-CA"/>
        </w:rPr>
        <w:t xml:space="preserve"> activités municipales est l’une des trois étapes requises pour que [</w:t>
      </w:r>
      <w:r w:rsidR="006A7B59">
        <w:rPr>
          <w:i/>
          <w:lang w:val="fr-CA"/>
        </w:rPr>
        <w:t>nom de la municipalité</w:t>
      </w:r>
      <w:r w:rsidR="006A7B59">
        <w:rPr>
          <w:lang w:val="fr-CA"/>
        </w:rPr>
        <w:t>] puisse obtenir le titre de Communauté bleue.</w:t>
      </w:r>
    </w:p>
    <w:p w14:paraId="60790C3E" w14:textId="77777777" w:rsidR="006A7B59" w:rsidRDefault="006A7B59" w:rsidP="00FF08EF">
      <w:pPr>
        <w:pStyle w:val="Normal1"/>
        <w:rPr>
          <w:lang w:val="fr-CA"/>
        </w:rPr>
      </w:pPr>
    </w:p>
    <w:p w14:paraId="1E18F879" w14:textId="3742BC81" w:rsidR="00FF08EF" w:rsidRDefault="00E81694" w:rsidP="00E81694">
      <w:pPr>
        <w:pStyle w:val="Normal1"/>
        <w:rPr>
          <w:lang w:val="fr-CA"/>
        </w:rPr>
      </w:pPr>
      <w:r>
        <w:rPr>
          <w:lang w:val="fr-CA"/>
        </w:rPr>
        <w:t>QU’IL SOIT RÉSOLU QUE [</w:t>
      </w:r>
      <w:r>
        <w:rPr>
          <w:i/>
          <w:lang w:val="fr-CA"/>
        </w:rPr>
        <w:t>Nom de la municipalité</w:t>
      </w:r>
      <w:r>
        <w:rPr>
          <w:lang w:val="fr-CA"/>
        </w:rPr>
        <w:t>] mette fin à</w:t>
      </w:r>
      <w:r w:rsidR="00FF08EF">
        <w:rPr>
          <w:lang w:val="fr-CA"/>
        </w:rPr>
        <w:t xml:space="preserve"> la vente de bouteilles d’eau jetables dans les installations municipales, les concessions possédées ou gérées par la municipalité</w:t>
      </w:r>
      <w:r w:rsidR="00300AEB">
        <w:rPr>
          <w:lang w:val="fr-CA"/>
        </w:rPr>
        <w:t xml:space="preserve"> et </w:t>
      </w:r>
      <w:r w:rsidR="00FF08EF">
        <w:rPr>
          <w:lang w:val="fr-CA"/>
        </w:rPr>
        <w:t xml:space="preserve">les distributrices qui se trouvent </w:t>
      </w:r>
      <w:r w:rsidR="00FF08EF" w:rsidRPr="00E81694">
        <w:rPr>
          <w:lang w:val="fr-CA"/>
        </w:rPr>
        <w:t xml:space="preserve">dans les installations publiques, </w:t>
      </w:r>
      <w:r w:rsidRPr="00E81694">
        <w:rPr>
          <w:lang w:val="fr-CA"/>
        </w:rPr>
        <w:t xml:space="preserve">et ce, </w:t>
      </w:r>
      <w:r w:rsidR="00FF08EF" w:rsidRPr="00E81694">
        <w:rPr>
          <w:lang w:val="fr-CA"/>
        </w:rPr>
        <w:t>à condition qu’on ait accès</w:t>
      </w:r>
      <w:r w:rsidRPr="00E81694">
        <w:rPr>
          <w:lang w:val="fr-CA"/>
        </w:rPr>
        <w:t xml:space="preserve"> </w:t>
      </w:r>
      <w:r w:rsidR="00FF08EF" w:rsidRPr="00E81694">
        <w:rPr>
          <w:lang w:val="fr-CA"/>
        </w:rPr>
        <w:t>à l’eau potable municipale</w:t>
      </w:r>
      <w:r w:rsidR="00300AEB" w:rsidRPr="00E81694">
        <w:rPr>
          <w:lang w:val="fr-CA"/>
        </w:rPr>
        <w:t> </w:t>
      </w:r>
      <w:r w:rsidRPr="00E81694">
        <w:rPr>
          <w:lang w:val="fr-CA"/>
        </w:rPr>
        <w:t>dans ces installations</w:t>
      </w:r>
      <w:r w:rsidR="00300AEB" w:rsidRPr="00E81694">
        <w:rPr>
          <w:lang w:val="fr-CA"/>
        </w:rPr>
        <w:t>;</w:t>
      </w:r>
    </w:p>
    <w:p w14:paraId="4A04519C" w14:textId="22BBB72C" w:rsidR="00E81694" w:rsidRDefault="00E81694" w:rsidP="00E81694">
      <w:pPr>
        <w:pStyle w:val="Normal1"/>
        <w:rPr>
          <w:lang w:val="fr-CA"/>
        </w:rPr>
      </w:pPr>
    </w:p>
    <w:p w14:paraId="2E702327" w14:textId="1646754F" w:rsidR="00FF08EF" w:rsidRDefault="00E81694" w:rsidP="00E81694">
      <w:pPr>
        <w:pStyle w:val="Normal1"/>
        <w:rPr>
          <w:lang w:val="fr-CA"/>
        </w:rPr>
      </w:pPr>
      <w:r>
        <w:rPr>
          <w:lang w:val="fr-CA"/>
        </w:rPr>
        <w:t>QU’IL SOIT EN OUTRE RÉSOLU QUE [</w:t>
      </w:r>
      <w:r>
        <w:rPr>
          <w:i/>
          <w:lang w:val="fr-CA"/>
        </w:rPr>
        <w:t>Nom de la municipalité</w:t>
      </w:r>
      <w:r>
        <w:rPr>
          <w:lang w:val="fr-CA"/>
        </w:rPr>
        <w:t>] cesse d’ache</w:t>
      </w:r>
      <w:r w:rsidR="00FF08EF">
        <w:rPr>
          <w:lang w:val="fr-CA"/>
        </w:rPr>
        <w:t>t</w:t>
      </w:r>
      <w:r>
        <w:rPr>
          <w:lang w:val="fr-CA"/>
        </w:rPr>
        <w:t>er</w:t>
      </w:r>
      <w:r w:rsidR="00D21F7E">
        <w:rPr>
          <w:lang w:val="fr-CA"/>
        </w:rPr>
        <w:t xml:space="preserve"> de</w:t>
      </w:r>
      <w:r w:rsidR="0012139B">
        <w:rPr>
          <w:lang w:val="fr-CA"/>
        </w:rPr>
        <w:t>s</w:t>
      </w:r>
      <w:r w:rsidR="00D21F7E">
        <w:rPr>
          <w:lang w:val="fr-CA"/>
        </w:rPr>
        <w:t xml:space="preserve"> bouteilles d’eau jetables pour </w:t>
      </w:r>
      <w:r w:rsidR="00300AEB">
        <w:rPr>
          <w:lang w:val="fr-CA"/>
        </w:rPr>
        <w:t>distribution</w:t>
      </w:r>
      <w:r>
        <w:rPr>
          <w:lang w:val="fr-CA"/>
        </w:rPr>
        <w:t xml:space="preserve"> lors des assemblées municipales, des activités municipales ou de travaux extérieurs, </w:t>
      </w:r>
      <w:r w:rsidRPr="00E81694">
        <w:rPr>
          <w:lang w:val="fr-CA"/>
        </w:rPr>
        <w:t>et ce, à condition qu’on ait accès à l’eau potable municipale</w:t>
      </w:r>
      <w:r>
        <w:rPr>
          <w:lang w:val="fr-CA"/>
        </w:rPr>
        <w:t xml:space="preserve"> lors de ces événements</w:t>
      </w:r>
      <w:r w:rsidRPr="00E81694">
        <w:rPr>
          <w:lang w:val="fr-CA"/>
        </w:rPr>
        <w:t>;</w:t>
      </w:r>
    </w:p>
    <w:p w14:paraId="280F2660" w14:textId="77777777" w:rsidR="00995B6B" w:rsidRDefault="00995B6B" w:rsidP="00E81694">
      <w:pPr>
        <w:pStyle w:val="Normal1"/>
        <w:rPr>
          <w:lang w:val="fr-CA"/>
        </w:rPr>
      </w:pPr>
    </w:p>
    <w:p w14:paraId="2C591739" w14:textId="6C712885" w:rsidR="00D21F7E" w:rsidRDefault="00E81694" w:rsidP="00E81694">
      <w:pPr>
        <w:pStyle w:val="Normal1"/>
        <w:rPr>
          <w:lang w:val="fr-CA"/>
        </w:rPr>
      </w:pPr>
      <w:r>
        <w:rPr>
          <w:lang w:val="fr-CA"/>
        </w:rPr>
        <w:lastRenderedPageBreak/>
        <w:t>QU’IL SOIT EN OUTRE RÉSOLU QUE [</w:t>
      </w:r>
      <w:r>
        <w:rPr>
          <w:i/>
          <w:lang w:val="fr-CA"/>
        </w:rPr>
        <w:t>Nom de la municipalité</w:t>
      </w:r>
      <w:r>
        <w:rPr>
          <w:lang w:val="fr-CA"/>
        </w:rPr>
        <w:t xml:space="preserve">] prévoit plus </w:t>
      </w:r>
      <w:r w:rsidR="00D21F7E">
        <w:rPr>
          <w:lang w:val="fr-CA"/>
        </w:rPr>
        <w:t xml:space="preserve">de pichets d’eau municipale </w:t>
      </w:r>
      <w:r>
        <w:rPr>
          <w:lang w:val="fr-CA"/>
        </w:rPr>
        <w:t>pour</w:t>
      </w:r>
      <w:r w:rsidR="00D21F7E">
        <w:rPr>
          <w:lang w:val="fr-CA"/>
        </w:rPr>
        <w:t xml:space="preserve"> les assemblées et les activités municipales</w:t>
      </w:r>
      <w:r w:rsidR="00300AEB">
        <w:rPr>
          <w:lang w:val="fr-CA"/>
        </w:rPr>
        <w:t>;</w:t>
      </w:r>
    </w:p>
    <w:p w14:paraId="133E9882" w14:textId="636D650D" w:rsidR="00E81694" w:rsidRDefault="00E81694" w:rsidP="00E81694">
      <w:pPr>
        <w:pStyle w:val="Normal1"/>
        <w:rPr>
          <w:lang w:val="fr-CA"/>
        </w:rPr>
      </w:pPr>
    </w:p>
    <w:p w14:paraId="2CE6D992" w14:textId="4C2C7060" w:rsidR="00D21F7E" w:rsidRDefault="00E81694" w:rsidP="00E81694">
      <w:pPr>
        <w:pStyle w:val="Normal1"/>
        <w:rPr>
          <w:lang w:val="fr-CA"/>
        </w:rPr>
      </w:pPr>
      <w:r>
        <w:rPr>
          <w:lang w:val="fr-CA"/>
        </w:rPr>
        <w:t>QU’IL SOIT EN OUTRE RÉSOLU QUE [</w:t>
      </w:r>
      <w:r>
        <w:rPr>
          <w:i/>
          <w:lang w:val="fr-CA"/>
        </w:rPr>
        <w:t>Nom de la municipalité</w:t>
      </w:r>
      <w:r>
        <w:rPr>
          <w:lang w:val="fr-CA"/>
        </w:rPr>
        <w:t xml:space="preserve">] lance </w:t>
      </w:r>
      <w:r w:rsidR="00D21F7E">
        <w:rPr>
          <w:lang w:val="fr-CA"/>
        </w:rPr>
        <w:t>une campagne de sensibilisation auprès du personnel et de la population pour expliquer les raisons qui sous-tendent ces décisions</w:t>
      </w:r>
      <w:r w:rsidR="00300AEB">
        <w:rPr>
          <w:lang w:val="fr-CA"/>
        </w:rPr>
        <w:t>;</w:t>
      </w:r>
    </w:p>
    <w:p w14:paraId="52E23D7B" w14:textId="4C5D80A8" w:rsidR="00E81694" w:rsidRDefault="00E81694" w:rsidP="00E81694">
      <w:pPr>
        <w:pStyle w:val="Normal1"/>
        <w:rPr>
          <w:lang w:val="fr-CA"/>
        </w:rPr>
      </w:pPr>
    </w:p>
    <w:p w14:paraId="7410FCEE" w14:textId="5FDFE8AB" w:rsidR="00D21F7E" w:rsidRDefault="00E81694" w:rsidP="00E81694">
      <w:pPr>
        <w:pStyle w:val="Normal1"/>
        <w:rPr>
          <w:lang w:val="fr-CA"/>
        </w:rPr>
      </w:pPr>
      <w:r>
        <w:rPr>
          <w:lang w:val="fr-CA"/>
        </w:rPr>
        <w:t>QU’IL SOIT EN OUTRE RÉSOLU QUE [</w:t>
      </w:r>
      <w:r>
        <w:rPr>
          <w:i/>
          <w:lang w:val="fr-CA"/>
        </w:rPr>
        <w:t>Nom de la municipalité</w:t>
      </w:r>
      <w:r>
        <w:rPr>
          <w:lang w:val="fr-CA"/>
        </w:rPr>
        <w:t>] demande</w:t>
      </w:r>
      <w:r w:rsidR="00D21F7E">
        <w:rPr>
          <w:lang w:val="fr-CA"/>
        </w:rPr>
        <w:t xml:space="preserve"> au</w:t>
      </w:r>
      <w:r>
        <w:rPr>
          <w:lang w:val="fr-CA"/>
        </w:rPr>
        <w:t xml:space="preserve"> personnel municipal d’établir un</w:t>
      </w:r>
      <w:r w:rsidR="00D21F7E">
        <w:rPr>
          <w:lang w:val="fr-CA"/>
        </w:rPr>
        <w:t xml:space="preserve"> calendrier de mise en œuvre de ces décisions, </w:t>
      </w:r>
      <w:r w:rsidR="0012139B">
        <w:rPr>
          <w:lang w:val="fr-CA"/>
        </w:rPr>
        <w:t>y compris</w:t>
      </w:r>
      <w:r w:rsidR="00D21F7E">
        <w:rPr>
          <w:lang w:val="fr-CA"/>
        </w:rPr>
        <w:t xml:space="preserve"> des échéances pour l’é</w:t>
      </w:r>
      <w:r>
        <w:rPr>
          <w:lang w:val="fr-CA"/>
        </w:rPr>
        <w:t xml:space="preserve">valuation de l’accessibilité à </w:t>
      </w:r>
      <w:r w:rsidR="00D21F7E">
        <w:rPr>
          <w:lang w:val="fr-CA"/>
        </w:rPr>
        <w:t>l’eau potable dans les installations municipales</w:t>
      </w:r>
      <w:r w:rsidR="00300AEB">
        <w:rPr>
          <w:lang w:val="fr-CA"/>
        </w:rPr>
        <w:t>;</w:t>
      </w:r>
    </w:p>
    <w:p w14:paraId="27D76E0F" w14:textId="0EA5F298" w:rsidR="00E81694" w:rsidRDefault="00E81694" w:rsidP="00E81694">
      <w:pPr>
        <w:pStyle w:val="Normal1"/>
        <w:rPr>
          <w:lang w:val="fr-CA"/>
        </w:rPr>
      </w:pPr>
    </w:p>
    <w:p w14:paraId="40EB2843" w14:textId="4BDD2B64" w:rsidR="00D21F7E" w:rsidRPr="00CF38B1" w:rsidRDefault="00E81694" w:rsidP="00E81694">
      <w:pPr>
        <w:pStyle w:val="Normal1"/>
        <w:rPr>
          <w:lang w:val="fr-CA"/>
        </w:rPr>
      </w:pPr>
      <w:r>
        <w:rPr>
          <w:lang w:val="fr-CA"/>
        </w:rPr>
        <w:t>QU’IL SOIT EN OUTRE RÉSOLU QUE [</w:t>
      </w:r>
      <w:r>
        <w:rPr>
          <w:i/>
          <w:lang w:val="fr-CA"/>
        </w:rPr>
        <w:t>Nom de la municipalité</w:t>
      </w:r>
      <w:r>
        <w:rPr>
          <w:lang w:val="fr-CA"/>
        </w:rPr>
        <w:t>] demande</w:t>
      </w:r>
      <w:r w:rsidR="00D21F7E">
        <w:rPr>
          <w:lang w:val="fr-CA"/>
        </w:rPr>
        <w:t xml:space="preserve"> au personnel </w:t>
      </w:r>
      <w:r w:rsidR="00D21F7E" w:rsidRPr="00CF38B1">
        <w:rPr>
          <w:lang w:val="fr-CA"/>
        </w:rPr>
        <w:t>municipal de faire rapport périodiquement sur les progrès réalisés.</w:t>
      </w:r>
    </w:p>
    <w:p w14:paraId="3F00FFF1" w14:textId="77777777" w:rsidR="00FF08EF" w:rsidRPr="00CF38B1" w:rsidRDefault="00FF08EF" w:rsidP="00FF08EF">
      <w:pPr>
        <w:pStyle w:val="Normal1"/>
        <w:rPr>
          <w:lang w:val="fr-CA"/>
        </w:rPr>
      </w:pPr>
    </w:p>
    <w:p w14:paraId="7F46C0FF" w14:textId="49F0E479" w:rsidR="00672870" w:rsidRPr="003A2524" w:rsidRDefault="002F6768" w:rsidP="002F6768">
      <w:pPr>
        <w:pStyle w:val="Normal1"/>
        <w:rPr>
          <w:lang w:val="fr-CA"/>
        </w:rPr>
      </w:pPr>
      <w:r w:rsidRPr="00CF38B1">
        <w:rPr>
          <w:b/>
          <w:lang w:val="fr-CA"/>
        </w:rPr>
        <w:t>Exemple de résolution pour la promotion des services d’eau et d’eaux usées financés, détenus et exploités par l</w:t>
      </w:r>
      <w:r w:rsidR="0012139B">
        <w:rPr>
          <w:b/>
          <w:lang w:val="fr-CA"/>
        </w:rPr>
        <w:t>es gouvernements</w:t>
      </w:r>
    </w:p>
    <w:p w14:paraId="5866E23C" w14:textId="2BEDC123" w:rsidR="00672870" w:rsidRPr="003A2524" w:rsidRDefault="00672870">
      <w:pPr>
        <w:pStyle w:val="Normal1"/>
        <w:rPr>
          <w:lang w:val="fr-CA"/>
        </w:rPr>
      </w:pPr>
    </w:p>
    <w:p w14:paraId="417E4502" w14:textId="4FF45DAB" w:rsidR="006A7B59" w:rsidRDefault="000E41AE" w:rsidP="000E41AE">
      <w:pPr>
        <w:pStyle w:val="Normal1"/>
        <w:rPr>
          <w:lang w:val="fr-CA"/>
        </w:rPr>
      </w:pPr>
      <w:r>
        <w:rPr>
          <w:lang w:val="fr-CA"/>
        </w:rPr>
        <w:t xml:space="preserve">ATTENDU QUE </w:t>
      </w:r>
      <w:r w:rsidR="006A7B59">
        <w:rPr>
          <w:lang w:val="fr-CA"/>
        </w:rPr>
        <w:t>la santé publique dépend d’un accès équitable à l’eau potable et aux systèmes d’assainissement;</w:t>
      </w:r>
    </w:p>
    <w:p w14:paraId="5F96B0EF" w14:textId="330EA2FB" w:rsidR="000E41AE" w:rsidRDefault="000E41AE" w:rsidP="000E41AE">
      <w:pPr>
        <w:pStyle w:val="Normal1"/>
        <w:rPr>
          <w:lang w:val="fr-CA"/>
        </w:rPr>
      </w:pPr>
    </w:p>
    <w:p w14:paraId="242A3013" w14:textId="6CBA58D6" w:rsidR="006A7B59" w:rsidRDefault="000E41AE" w:rsidP="000E41AE">
      <w:pPr>
        <w:pStyle w:val="Normal1"/>
        <w:rPr>
          <w:lang w:val="fr-CA"/>
        </w:rPr>
      </w:pPr>
      <w:r>
        <w:rPr>
          <w:lang w:val="fr-CA"/>
        </w:rPr>
        <w:t>ATTENDU QUE la propriété et l’exploitation publiques</w:t>
      </w:r>
      <w:r w:rsidR="006A7B59">
        <w:rPr>
          <w:lang w:val="fr-CA"/>
        </w:rPr>
        <w:t xml:space="preserve"> des systèmes d’eau potable </w:t>
      </w:r>
      <w:r>
        <w:rPr>
          <w:lang w:val="fr-CA"/>
        </w:rPr>
        <w:t>et d’eaux usées ont</w:t>
      </w:r>
      <w:r w:rsidR="0012139B">
        <w:rPr>
          <w:lang w:val="fr-CA"/>
        </w:rPr>
        <w:t xml:space="preserve"> puissamment contribué à l’accessibilité</w:t>
      </w:r>
      <w:r>
        <w:rPr>
          <w:lang w:val="fr-CA"/>
        </w:rPr>
        <w:t xml:space="preserve"> </w:t>
      </w:r>
      <w:r w:rsidR="006A7B59">
        <w:rPr>
          <w:lang w:val="fr-CA"/>
        </w:rPr>
        <w:t>et à la qualité de ces services depuis un siècle;</w:t>
      </w:r>
    </w:p>
    <w:p w14:paraId="1297264F" w14:textId="4BA55BC5" w:rsidR="000E41AE" w:rsidRDefault="000E41AE" w:rsidP="000E41AE">
      <w:pPr>
        <w:pStyle w:val="Normal1"/>
        <w:rPr>
          <w:lang w:val="fr-CA"/>
        </w:rPr>
      </w:pPr>
    </w:p>
    <w:p w14:paraId="01831449" w14:textId="0E46AD94" w:rsidR="006A7B59" w:rsidRDefault="000E41AE" w:rsidP="000E41AE">
      <w:pPr>
        <w:pStyle w:val="Normal1"/>
        <w:rPr>
          <w:lang w:val="fr-CA"/>
        </w:rPr>
      </w:pPr>
      <w:r>
        <w:rPr>
          <w:lang w:val="fr-CA"/>
        </w:rPr>
        <w:t xml:space="preserve">ATTENDU QUE </w:t>
      </w:r>
      <w:r w:rsidR="006A7B59">
        <w:rPr>
          <w:lang w:val="fr-CA"/>
        </w:rPr>
        <w:t>[</w:t>
      </w:r>
      <w:r w:rsidR="006A7B59">
        <w:rPr>
          <w:i/>
          <w:lang w:val="fr-CA"/>
        </w:rPr>
        <w:t>nom de la municipalité</w:t>
      </w:r>
      <w:r w:rsidR="006A7B59">
        <w:rPr>
          <w:lang w:val="fr-CA"/>
        </w:rPr>
        <w:t xml:space="preserve">] est </w:t>
      </w:r>
      <w:r>
        <w:rPr>
          <w:lang w:val="fr-CA"/>
        </w:rPr>
        <w:t xml:space="preserve">déterminée </w:t>
      </w:r>
      <w:r w:rsidR="006A7B59">
        <w:rPr>
          <w:lang w:val="fr-CA"/>
        </w:rPr>
        <w:t>à protéger ses systèmes d’eau et d’eaux usées contre les conséquences de l</w:t>
      </w:r>
      <w:r>
        <w:rPr>
          <w:lang w:val="fr-CA"/>
        </w:rPr>
        <w:t>a</w:t>
      </w:r>
      <w:r w:rsidR="006A7B59">
        <w:rPr>
          <w:lang w:val="fr-CA"/>
        </w:rPr>
        <w:t xml:space="preserve"> privatisation </w:t>
      </w:r>
      <w:r>
        <w:rPr>
          <w:lang w:val="fr-CA"/>
        </w:rPr>
        <w:t>dans le cadre de partenariats public-privé</w:t>
      </w:r>
      <w:r w:rsidR="006A7B59">
        <w:rPr>
          <w:lang w:val="fr-CA"/>
        </w:rPr>
        <w:t xml:space="preserve"> (PPP), </w:t>
      </w:r>
      <w:r>
        <w:rPr>
          <w:lang w:val="fr-CA"/>
        </w:rPr>
        <w:t>telles</w:t>
      </w:r>
      <w:r w:rsidR="006A7B59">
        <w:rPr>
          <w:lang w:val="fr-CA"/>
        </w:rPr>
        <w:t> :</w:t>
      </w:r>
    </w:p>
    <w:p w14:paraId="637C4D96" w14:textId="77777777" w:rsidR="002E4DB7" w:rsidRDefault="002E4DB7" w:rsidP="000E41AE">
      <w:pPr>
        <w:pStyle w:val="Normal1"/>
        <w:rPr>
          <w:lang w:val="fr-CA"/>
        </w:rPr>
      </w:pPr>
    </w:p>
    <w:p w14:paraId="1CADDDA8" w14:textId="43EF0347" w:rsidR="006A7B59" w:rsidRDefault="000E41AE" w:rsidP="002E4DB7">
      <w:pPr>
        <w:pStyle w:val="Normal1"/>
        <w:numPr>
          <w:ilvl w:val="0"/>
          <w:numId w:val="20"/>
        </w:numPr>
        <w:rPr>
          <w:lang w:val="fr-CA"/>
        </w:rPr>
      </w:pPr>
      <w:r>
        <w:rPr>
          <w:lang w:val="fr-CA"/>
        </w:rPr>
        <w:t>l’absence de</w:t>
      </w:r>
      <w:r w:rsidR="006A7B59">
        <w:rPr>
          <w:lang w:val="fr-CA"/>
        </w:rPr>
        <w:t xml:space="preserve"> transparence et de reddition de comptes à la population;</w:t>
      </w:r>
    </w:p>
    <w:p w14:paraId="551D4528" w14:textId="435D863F" w:rsidR="006A7B59" w:rsidRDefault="000E41AE" w:rsidP="002E4DB7">
      <w:pPr>
        <w:pStyle w:val="Normal1"/>
        <w:numPr>
          <w:ilvl w:val="0"/>
          <w:numId w:val="20"/>
        </w:numPr>
        <w:rPr>
          <w:lang w:val="fr-CA"/>
        </w:rPr>
      </w:pPr>
      <w:r>
        <w:rPr>
          <w:lang w:val="fr-CA"/>
        </w:rPr>
        <w:t>la</w:t>
      </w:r>
      <w:r w:rsidR="006A7B59">
        <w:rPr>
          <w:lang w:val="fr-CA"/>
        </w:rPr>
        <w:t xml:space="preserve"> hausse des coûts;</w:t>
      </w:r>
    </w:p>
    <w:p w14:paraId="5EF2EDAD" w14:textId="75F3F55A" w:rsidR="006A7B59" w:rsidRDefault="000E41AE" w:rsidP="002E4DB7">
      <w:pPr>
        <w:pStyle w:val="Normal1"/>
        <w:numPr>
          <w:ilvl w:val="0"/>
          <w:numId w:val="20"/>
        </w:numPr>
        <w:rPr>
          <w:lang w:val="fr-CA"/>
        </w:rPr>
      </w:pPr>
      <w:r>
        <w:rPr>
          <w:lang w:val="fr-CA"/>
        </w:rPr>
        <w:t>la</w:t>
      </w:r>
      <w:r w:rsidR="006A7B59">
        <w:rPr>
          <w:lang w:val="fr-CA"/>
        </w:rPr>
        <w:t xml:space="preserve"> hausse des frais facturés aux usagers;</w:t>
      </w:r>
    </w:p>
    <w:p w14:paraId="2894FBC9" w14:textId="2B186F10" w:rsidR="006A7B59" w:rsidRDefault="006A7B59" w:rsidP="002E4DB7">
      <w:pPr>
        <w:pStyle w:val="Normal1"/>
        <w:numPr>
          <w:ilvl w:val="0"/>
          <w:numId w:val="20"/>
        </w:numPr>
        <w:rPr>
          <w:lang w:val="fr-CA"/>
        </w:rPr>
      </w:pPr>
      <w:r>
        <w:rPr>
          <w:lang w:val="fr-CA"/>
        </w:rPr>
        <w:t>des contrats qui limiteront, pendant plusieurs décennies, le pouvoir de décision des prochaines administrations municipales;</w:t>
      </w:r>
    </w:p>
    <w:p w14:paraId="4224FD98" w14:textId="63698BE8" w:rsidR="000E41AE" w:rsidRDefault="006A7B59" w:rsidP="002E4DB7">
      <w:pPr>
        <w:pStyle w:val="Normal1"/>
        <w:numPr>
          <w:ilvl w:val="0"/>
          <w:numId w:val="20"/>
        </w:numPr>
        <w:rPr>
          <w:lang w:val="fr-CA"/>
        </w:rPr>
      </w:pPr>
      <w:r>
        <w:rPr>
          <w:lang w:val="fr-CA"/>
        </w:rPr>
        <w:t xml:space="preserve">des accords commerciaux internationaux qui accordent aux </w:t>
      </w:r>
      <w:r w:rsidR="000E41AE">
        <w:rPr>
          <w:lang w:val="fr-CA"/>
        </w:rPr>
        <w:t xml:space="preserve">entreprises </w:t>
      </w:r>
      <w:r>
        <w:rPr>
          <w:lang w:val="fr-CA"/>
        </w:rPr>
        <w:t>privées d</w:t>
      </w:r>
      <w:r w:rsidR="000E41AE">
        <w:rPr>
          <w:lang w:val="fr-CA"/>
        </w:rPr>
        <w:t xml:space="preserve">u secteur de l’eau </w:t>
      </w:r>
      <w:r>
        <w:rPr>
          <w:lang w:val="fr-CA"/>
        </w:rPr>
        <w:t xml:space="preserve">le droit de poursuivre en justice les municipalités qui décident de </w:t>
      </w:r>
      <w:proofErr w:type="spellStart"/>
      <w:r w:rsidR="000E41AE">
        <w:rPr>
          <w:lang w:val="fr-CA"/>
        </w:rPr>
        <w:t>re</w:t>
      </w:r>
      <w:r>
        <w:rPr>
          <w:lang w:val="fr-CA"/>
        </w:rPr>
        <w:t>municipaliser</w:t>
      </w:r>
      <w:proofErr w:type="spellEnd"/>
      <w:r>
        <w:rPr>
          <w:lang w:val="fr-CA"/>
        </w:rPr>
        <w:t xml:space="preserve"> leurs services d’eau;</w:t>
      </w:r>
    </w:p>
    <w:p w14:paraId="08ECF141" w14:textId="04F00B6E" w:rsidR="000E41AE" w:rsidRDefault="000E41AE" w:rsidP="000E41AE">
      <w:pPr>
        <w:pStyle w:val="Normal1"/>
        <w:rPr>
          <w:lang w:val="fr-CA"/>
        </w:rPr>
      </w:pPr>
    </w:p>
    <w:p w14:paraId="79523B0F" w14:textId="63292DFA" w:rsidR="006A7B59" w:rsidRDefault="000E41AE" w:rsidP="000E41AE">
      <w:pPr>
        <w:pStyle w:val="Normal1"/>
        <w:rPr>
          <w:lang w:val="fr-CA"/>
        </w:rPr>
      </w:pPr>
      <w:r>
        <w:rPr>
          <w:lang w:val="fr-CA"/>
        </w:rPr>
        <w:t xml:space="preserve">ATTENDU QUE </w:t>
      </w:r>
      <w:r w:rsidR="006A7B59">
        <w:rPr>
          <w:lang w:val="fr-CA"/>
        </w:rPr>
        <w:t xml:space="preserve">la privatisation des systèmes et des services d’eau et d’eaux usées par l’entremise d’un PPP ou de la sous-traitance </w:t>
      </w:r>
      <w:r>
        <w:rPr>
          <w:lang w:val="fr-CA"/>
        </w:rPr>
        <w:t>fait de l’eau une</w:t>
      </w:r>
      <w:r w:rsidR="006A7B59">
        <w:rPr>
          <w:lang w:val="fr-CA"/>
        </w:rPr>
        <w:t xml:space="preserve"> </w:t>
      </w:r>
      <w:r>
        <w:rPr>
          <w:lang w:val="fr-CA"/>
        </w:rPr>
        <w:t>marchandise vendue</w:t>
      </w:r>
      <w:r w:rsidR="006A7B59">
        <w:rPr>
          <w:lang w:val="fr-CA"/>
        </w:rPr>
        <w:t xml:space="preserve"> pour réaliser des profits;</w:t>
      </w:r>
    </w:p>
    <w:p w14:paraId="3D868C01" w14:textId="6DB5E9B0" w:rsidR="000E41AE" w:rsidRDefault="000E41AE" w:rsidP="000E41AE">
      <w:pPr>
        <w:pStyle w:val="Normal1"/>
        <w:rPr>
          <w:lang w:val="fr-CA"/>
        </w:rPr>
      </w:pPr>
    </w:p>
    <w:p w14:paraId="62B09613" w14:textId="3DD5C2D6" w:rsidR="006A7B59" w:rsidRDefault="000E41AE" w:rsidP="000E41AE">
      <w:pPr>
        <w:pStyle w:val="Normal1"/>
        <w:rPr>
          <w:lang w:val="fr-CA"/>
        </w:rPr>
      </w:pPr>
      <w:r>
        <w:rPr>
          <w:lang w:val="fr-CA"/>
        </w:rPr>
        <w:t xml:space="preserve">ATTENDU QUE </w:t>
      </w:r>
      <w:r w:rsidR="006A7B59">
        <w:rPr>
          <w:lang w:val="fr-CA"/>
        </w:rPr>
        <w:t>le gouvernement fédéral réclame un rehaussement fort néce</w:t>
      </w:r>
      <w:r>
        <w:rPr>
          <w:lang w:val="fr-CA"/>
        </w:rPr>
        <w:t xml:space="preserve">ssaire des normes concernant le </w:t>
      </w:r>
      <w:r w:rsidR="00CF38B1">
        <w:rPr>
          <w:lang w:val="fr-CA"/>
        </w:rPr>
        <w:t xml:space="preserve">traitement des eaux usées et </w:t>
      </w:r>
      <w:r>
        <w:rPr>
          <w:lang w:val="fr-CA"/>
        </w:rPr>
        <w:t xml:space="preserve">que cela </w:t>
      </w:r>
      <w:r w:rsidR="006A7B59">
        <w:rPr>
          <w:lang w:val="fr-CA"/>
        </w:rPr>
        <w:t xml:space="preserve">pourrait ouvrir la voie à la privatisation, à </w:t>
      </w:r>
      <w:r w:rsidR="006A7B59">
        <w:rPr>
          <w:lang w:val="fr-CA"/>
        </w:rPr>
        <w:lastRenderedPageBreak/>
        <w:t>moins que le fédéral ne consacre un fonds d’infrastructure publique à la mise à niveau des installations de traitement des eaux usées;</w:t>
      </w:r>
    </w:p>
    <w:p w14:paraId="479A5290" w14:textId="77777777" w:rsidR="007D62BF" w:rsidRDefault="007D62BF" w:rsidP="000E41AE">
      <w:pPr>
        <w:pStyle w:val="Normal1"/>
        <w:rPr>
          <w:lang w:val="fr-CA"/>
        </w:rPr>
      </w:pPr>
    </w:p>
    <w:p w14:paraId="588F3119" w14:textId="44B190EA" w:rsidR="006A7B59" w:rsidRPr="006A7B59" w:rsidRDefault="00CF38B1" w:rsidP="00CF38B1">
      <w:pPr>
        <w:pStyle w:val="Normal1"/>
        <w:rPr>
          <w:lang w:val="fr-CA"/>
        </w:rPr>
      </w:pPr>
      <w:r>
        <w:rPr>
          <w:lang w:val="fr-CA"/>
        </w:rPr>
        <w:t xml:space="preserve">ATTENDU QUE </w:t>
      </w:r>
      <w:r w:rsidR="006A7B59">
        <w:rPr>
          <w:lang w:val="fr-CA"/>
        </w:rPr>
        <w:t>le maintien du contrôle public sur les infrastructures d’eau et d’eaux usées est l’une des trois étapes requises pour que [</w:t>
      </w:r>
      <w:r w:rsidR="006A7B59">
        <w:rPr>
          <w:i/>
          <w:lang w:val="fr-CA"/>
        </w:rPr>
        <w:t>nom de la municipalité</w:t>
      </w:r>
      <w:r w:rsidR="006A7B59">
        <w:rPr>
          <w:lang w:val="fr-CA"/>
        </w:rPr>
        <w:t>] puisse obtenir le titre de Communauté bleue.</w:t>
      </w:r>
    </w:p>
    <w:p w14:paraId="37CEC479" w14:textId="77777777" w:rsidR="006A7B59" w:rsidRDefault="006A7B59" w:rsidP="00153DD8">
      <w:pPr>
        <w:pStyle w:val="Normal1"/>
        <w:rPr>
          <w:lang w:val="fr-CA"/>
        </w:rPr>
      </w:pPr>
    </w:p>
    <w:p w14:paraId="6F392DE7" w14:textId="30E5DF4B" w:rsidR="00251BDD" w:rsidRDefault="00CF38B1" w:rsidP="00CF38B1">
      <w:pPr>
        <w:pStyle w:val="Normal1"/>
        <w:rPr>
          <w:lang w:val="fr-CA"/>
        </w:rPr>
      </w:pPr>
      <w:r>
        <w:rPr>
          <w:lang w:val="fr-CA"/>
        </w:rPr>
        <w:t>QU’IL SOIT RÉSOLU QUE [</w:t>
      </w:r>
      <w:r>
        <w:rPr>
          <w:i/>
          <w:lang w:val="fr-CA"/>
        </w:rPr>
        <w:t>Nom de la municipalité</w:t>
      </w:r>
      <w:r>
        <w:rPr>
          <w:lang w:val="fr-CA"/>
        </w:rPr>
        <w:t>] s’oppose</w:t>
      </w:r>
      <w:r w:rsidR="00251BDD">
        <w:rPr>
          <w:lang w:val="fr-CA"/>
        </w:rPr>
        <w:t xml:space="preserve"> à la privatisation, sous toutes ses formes, des infrastructures et des services d’eau et d’eaux usées, y compris par le biais de PPP ou de contrats de service de courte durée, et s’enga</w:t>
      </w:r>
      <w:r>
        <w:rPr>
          <w:lang w:val="fr-CA"/>
        </w:rPr>
        <w:t>ge</w:t>
      </w:r>
      <w:r w:rsidR="00251BDD">
        <w:rPr>
          <w:lang w:val="fr-CA"/>
        </w:rPr>
        <w:t xml:space="preserve"> à maintenir le financement, la propriété, l’exploitation et la gestion </w:t>
      </w:r>
      <w:r>
        <w:rPr>
          <w:lang w:val="fr-CA"/>
        </w:rPr>
        <w:t>publi</w:t>
      </w:r>
      <w:r w:rsidR="00F20378">
        <w:rPr>
          <w:lang w:val="fr-CA"/>
        </w:rPr>
        <w:t xml:space="preserve">cs </w:t>
      </w:r>
      <w:r>
        <w:rPr>
          <w:lang w:val="fr-CA"/>
        </w:rPr>
        <w:t>de ces services</w:t>
      </w:r>
      <w:r w:rsidR="00300AEB">
        <w:rPr>
          <w:lang w:val="fr-CA"/>
        </w:rPr>
        <w:t>;</w:t>
      </w:r>
    </w:p>
    <w:p w14:paraId="1A2EB6E8" w14:textId="0D2B9024" w:rsidR="00CF38B1" w:rsidRDefault="00CF38B1" w:rsidP="00CF38B1">
      <w:pPr>
        <w:pStyle w:val="Normal1"/>
        <w:rPr>
          <w:lang w:val="fr-CA"/>
        </w:rPr>
      </w:pPr>
    </w:p>
    <w:p w14:paraId="63B3DD9E" w14:textId="6CC0140A" w:rsidR="00153DD8" w:rsidRDefault="00CF38B1" w:rsidP="00CF38B1">
      <w:pPr>
        <w:pStyle w:val="Normal1"/>
        <w:rPr>
          <w:lang w:val="fr-CA"/>
        </w:rPr>
      </w:pPr>
      <w:r>
        <w:rPr>
          <w:lang w:val="fr-CA"/>
        </w:rPr>
        <w:t>QU’IL SOIT EN OUTRE RÉSOLU QUE [</w:t>
      </w:r>
      <w:r>
        <w:rPr>
          <w:i/>
          <w:lang w:val="fr-CA"/>
        </w:rPr>
        <w:t>Nom de la municipalité</w:t>
      </w:r>
      <w:r>
        <w:rPr>
          <w:lang w:val="fr-CA"/>
        </w:rPr>
        <w:t>] pousse</w:t>
      </w:r>
      <w:r w:rsidR="0043336E">
        <w:rPr>
          <w:lang w:val="fr-CA"/>
        </w:rPr>
        <w:t xml:space="preserve"> le gouvernement fédéral </w:t>
      </w:r>
      <w:r w:rsidR="00300AEB">
        <w:rPr>
          <w:lang w:val="fr-CA"/>
        </w:rPr>
        <w:t>à assumer</w:t>
      </w:r>
      <w:r w:rsidR="0043336E">
        <w:rPr>
          <w:lang w:val="fr-CA"/>
        </w:rPr>
        <w:t xml:space="preserve"> sa responsabilité de soutenir les infrastructures municipales en investissant dans un fonds national d’infrastructures d’eau et d’eaux usées qui réponde aux besoins croissants en matière de renouvellement et de prolongement des systèmes d’eau et d’eaux usées, ce fonds devant </w:t>
      </w:r>
      <w:r w:rsidR="00300AEB">
        <w:rPr>
          <w:lang w:val="fr-CA"/>
        </w:rPr>
        <w:t>financer</w:t>
      </w:r>
      <w:r w:rsidR="0043336E">
        <w:rPr>
          <w:lang w:val="fr-CA"/>
        </w:rPr>
        <w:t xml:space="preserve"> uniquement des projets publics</w:t>
      </w:r>
      <w:r w:rsidR="00300AEB">
        <w:rPr>
          <w:lang w:val="fr-CA"/>
        </w:rPr>
        <w:t>;</w:t>
      </w:r>
    </w:p>
    <w:p w14:paraId="6EC2BCBE" w14:textId="3FCFC9F2" w:rsidR="00CF38B1" w:rsidRDefault="00CF38B1" w:rsidP="00CF38B1">
      <w:pPr>
        <w:pStyle w:val="Normal1"/>
        <w:rPr>
          <w:lang w:val="fr-CA"/>
        </w:rPr>
      </w:pPr>
    </w:p>
    <w:p w14:paraId="62032915" w14:textId="693678FF" w:rsidR="00153DD8" w:rsidRPr="006A7B59" w:rsidRDefault="00CF38B1" w:rsidP="00CF38B1">
      <w:pPr>
        <w:pStyle w:val="Normal1"/>
        <w:rPr>
          <w:lang w:val="fr-CA"/>
        </w:rPr>
      </w:pPr>
      <w:r>
        <w:rPr>
          <w:lang w:val="fr-CA"/>
        </w:rPr>
        <w:t>QU’IL SOIT EN OUTRE RÉSOLU QUE [</w:t>
      </w:r>
      <w:r>
        <w:rPr>
          <w:i/>
          <w:lang w:val="fr-CA"/>
        </w:rPr>
        <w:t>Nom de la municipalité</w:t>
      </w:r>
      <w:r>
        <w:rPr>
          <w:lang w:val="fr-CA"/>
        </w:rPr>
        <w:t xml:space="preserve">] achemine </w:t>
      </w:r>
      <w:r w:rsidR="0043336E">
        <w:rPr>
          <w:lang w:val="fr-CA"/>
        </w:rPr>
        <w:t>la présente résolution à la Fédération canadienne des municipalités pour que celle-ci la distribue à ses membres.</w:t>
      </w:r>
    </w:p>
    <w:p w14:paraId="5776C8E9" w14:textId="6AABB4EF" w:rsidR="00672870" w:rsidRPr="003A2524" w:rsidRDefault="00672870">
      <w:pPr>
        <w:pStyle w:val="Normal1"/>
        <w:rPr>
          <w:lang w:val="fr-CA"/>
        </w:rPr>
      </w:pPr>
    </w:p>
    <w:p w14:paraId="1951B171" w14:textId="7C4B6713" w:rsidR="00672870" w:rsidRPr="003A2524" w:rsidRDefault="002B4BB1" w:rsidP="006A7B59">
      <w:pPr>
        <w:rPr>
          <w:lang w:val="fr-CA"/>
        </w:rPr>
      </w:pPr>
      <w:r w:rsidRPr="00452AE2">
        <w:rPr>
          <w:b/>
          <w:lang w:val="fr-CA"/>
        </w:rPr>
        <w:t>Exemple de résolution : Communauté autochtone bleue</w:t>
      </w:r>
    </w:p>
    <w:p w14:paraId="6E110E8B" w14:textId="33ADDCC3" w:rsidR="00672870" w:rsidRPr="003A2524" w:rsidRDefault="00672870">
      <w:pPr>
        <w:pStyle w:val="Normal1"/>
        <w:rPr>
          <w:lang w:val="fr-CA"/>
        </w:rPr>
      </w:pPr>
    </w:p>
    <w:p w14:paraId="44784F09" w14:textId="2FFB0580" w:rsidR="00CF38B1" w:rsidRDefault="00CF38B1" w:rsidP="00CF38B1">
      <w:pPr>
        <w:pStyle w:val="Normal1"/>
        <w:rPr>
          <w:lang w:val="fr-CA"/>
        </w:rPr>
      </w:pPr>
      <w:r>
        <w:rPr>
          <w:lang w:val="fr-CA"/>
        </w:rPr>
        <w:t xml:space="preserve">ATTENDU </w:t>
      </w:r>
      <w:proofErr w:type="spellStart"/>
      <w:r>
        <w:rPr>
          <w:lang w:val="fr-CA"/>
        </w:rPr>
        <w:t>QU’à</w:t>
      </w:r>
      <w:proofErr w:type="spellEnd"/>
      <w:r>
        <w:rPr>
          <w:lang w:val="fr-CA"/>
        </w:rPr>
        <w:t xml:space="preserve"> travers le monde, près de 750 millions de personnes n’ont pas accès à l’eau </w:t>
      </w:r>
      <w:r w:rsidRPr="001C3A16">
        <w:rPr>
          <w:lang w:val="fr-CA"/>
        </w:rPr>
        <w:t>potable, que quatre milliards</w:t>
      </w:r>
      <w:r>
        <w:rPr>
          <w:lang w:val="fr-CA"/>
        </w:rPr>
        <w:t xml:space="preserve"> de personnes font face à une grave pénurie d’eau</w:t>
      </w:r>
      <w:r>
        <w:rPr>
          <w:rFonts w:ascii="Calibri" w:hAnsi="Calibri" w:cs="Calibri"/>
          <w:lang w:val="fr-CA"/>
        </w:rPr>
        <w:t> </w:t>
      </w:r>
      <w:r>
        <w:rPr>
          <w:lang w:val="fr-CA"/>
        </w:rPr>
        <w:t>et que 2,5 milliards de personnes n’ont pas accès à des services d’assainissement adéquats;</w:t>
      </w:r>
    </w:p>
    <w:p w14:paraId="567CD420" w14:textId="77777777" w:rsidR="00CF38B1" w:rsidRDefault="00CF38B1" w:rsidP="00CF38B1">
      <w:pPr>
        <w:pStyle w:val="Normal1"/>
        <w:rPr>
          <w:lang w:val="fr-CA"/>
        </w:rPr>
      </w:pPr>
    </w:p>
    <w:p w14:paraId="0DE2B0E3" w14:textId="4C0EBF1D" w:rsidR="00CF38B1" w:rsidRDefault="00CF38B1" w:rsidP="00CF38B1">
      <w:pPr>
        <w:pStyle w:val="Normal1"/>
        <w:rPr>
          <w:lang w:val="fr-CA"/>
        </w:rPr>
      </w:pPr>
      <w:r>
        <w:rPr>
          <w:lang w:val="fr-CA"/>
        </w:rPr>
        <w:t>ATTENDU QU’au Canada, un nombre disproportionné de communautés autochtones (Premières Nations, Métis et Inuit) n’ont pas accès à l’eau potable et aux services d’assainissement;</w:t>
      </w:r>
    </w:p>
    <w:p w14:paraId="766D33B4" w14:textId="56656B3D" w:rsidR="00CF38B1" w:rsidRDefault="00CF38B1" w:rsidP="006A7B59">
      <w:pPr>
        <w:pStyle w:val="Normal1"/>
        <w:rPr>
          <w:highlight w:val="white"/>
          <w:lang w:val="fr-CA"/>
        </w:rPr>
      </w:pPr>
    </w:p>
    <w:p w14:paraId="0D477DF9" w14:textId="6CC69D8A" w:rsidR="006A7B59" w:rsidRDefault="00CF38B1" w:rsidP="00CF38B1">
      <w:pPr>
        <w:pStyle w:val="Normal1"/>
        <w:rPr>
          <w:lang w:val="fr-CA"/>
        </w:rPr>
      </w:pPr>
      <w:r>
        <w:rPr>
          <w:lang w:val="fr-CA"/>
        </w:rPr>
        <w:t xml:space="preserve">ATTENDU QUE </w:t>
      </w:r>
      <w:r w:rsidR="006A7B59">
        <w:rPr>
          <w:lang w:val="fr-CA"/>
        </w:rPr>
        <w:t>l’évaluation technique nationale de 2011, une étude sur l’état des systèmes d’eau et d’eaux usées des Premières Nations commandée par le gouvernement fédéral, a révélé que 73 pour cent des systèmes présentaient un risque de niveau moyen à élevé;</w:t>
      </w:r>
    </w:p>
    <w:p w14:paraId="574A9298" w14:textId="62E6B9E4" w:rsidR="00CF38B1" w:rsidRDefault="00CF38B1" w:rsidP="00CF38B1">
      <w:pPr>
        <w:pStyle w:val="Normal1"/>
        <w:rPr>
          <w:lang w:val="fr-CA"/>
        </w:rPr>
      </w:pPr>
    </w:p>
    <w:p w14:paraId="0AB86764" w14:textId="1A96A774" w:rsidR="006A7B59" w:rsidRDefault="00CF38B1" w:rsidP="00CF38B1">
      <w:pPr>
        <w:pStyle w:val="Normal1"/>
        <w:rPr>
          <w:lang w:val="fr-CA"/>
        </w:rPr>
      </w:pPr>
      <w:r>
        <w:rPr>
          <w:lang w:val="fr-CA"/>
        </w:rPr>
        <w:t xml:space="preserve">ATTENDU QUE </w:t>
      </w:r>
      <w:r w:rsidR="006A7B59">
        <w:rPr>
          <w:lang w:val="fr-CA"/>
        </w:rPr>
        <w:t xml:space="preserve">plus d’une centaine d’avis d’ébullition </w:t>
      </w:r>
      <w:r>
        <w:rPr>
          <w:lang w:val="fr-CA"/>
        </w:rPr>
        <w:t xml:space="preserve">sont quotidiennement </w:t>
      </w:r>
      <w:r w:rsidR="006A7B59">
        <w:rPr>
          <w:lang w:val="fr-CA"/>
        </w:rPr>
        <w:t>en vigueur dans les communautés autochtones du Canada</w:t>
      </w:r>
      <w:r w:rsidR="00092436">
        <w:rPr>
          <w:lang w:val="fr-CA"/>
        </w:rPr>
        <w:t xml:space="preserve"> et</w:t>
      </w:r>
      <w:r w:rsidR="006A7B59">
        <w:rPr>
          <w:lang w:val="fr-CA"/>
        </w:rPr>
        <w:t xml:space="preserve"> </w:t>
      </w:r>
      <w:r>
        <w:rPr>
          <w:lang w:val="fr-CA"/>
        </w:rPr>
        <w:t>que</w:t>
      </w:r>
      <w:r w:rsidR="006A7B59">
        <w:rPr>
          <w:lang w:val="fr-CA"/>
        </w:rPr>
        <w:t xml:space="preserve"> les citoyens </w:t>
      </w:r>
      <w:r w:rsidR="00092436">
        <w:rPr>
          <w:lang w:val="fr-CA"/>
        </w:rPr>
        <w:t xml:space="preserve">de ces communautés </w:t>
      </w:r>
      <w:r w:rsidR="006A7B59">
        <w:rPr>
          <w:lang w:val="fr-CA"/>
        </w:rPr>
        <w:t>ne peuvent</w:t>
      </w:r>
      <w:r w:rsidR="00092436">
        <w:rPr>
          <w:lang w:val="fr-CA"/>
        </w:rPr>
        <w:t xml:space="preserve"> pas boire l’eau du robinet, dans plus de la moitié de cas depuis plus de cinq ans</w:t>
      </w:r>
      <w:r w:rsidR="006A7B59">
        <w:rPr>
          <w:lang w:val="fr-CA"/>
        </w:rPr>
        <w:t xml:space="preserve"> et </w:t>
      </w:r>
      <w:r w:rsidR="00092436">
        <w:rPr>
          <w:lang w:val="fr-CA"/>
        </w:rPr>
        <w:t>souvent</w:t>
      </w:r>
      <w:r w:rsidR="006A7B59">
        <w:rPr>
          <w:lang w:val="fr-CA"/>
        </w:rPr>
        <w:t xml:space="preserve"> depuis plus de dix ans;</w:t>
      </w:r>
    </w:p>
    <w:p w14:paraId="4CA22FC5" w14:textId="050F8704" w:rsidR="00092436" w:rsidRDefault="00092436" w:rsidP="00CF38B1">
      <w:pPr>
        <w:pStyle w:val="Normal1"/>
        <w:rPr>
          <w:lang w:val="fr-CA"/>
        </w:rPr>
      </w:pPr>
    </w:p>
    <w:p w14:paraId="2F9A6058" w14:textId="20A2CB69" w:rsidR="007A058E" w:rsidRDefault="007A058E" w:rsidP="007A058E">
      <w:pPr>
        <w:pStyle w:val="Normal1"/>
        <w:rPr>
          <w:lang w:val="fr-CA"/>
        </w:rPr>
      </w:pPr>
      <w:r>
        <w:rPr>
          <w:lang w:val="fr-CA"/>
        </w:rPr>
        <w:t>ATTENDU QUE l’Assemblée générale des Nations Unies a adopté le 28 juillet 2010 une résolution reconnaissant le droit à l’eau et aux services d’assainissement;</w:t>
      </w:r>
    </w:p>
    <w:p w14:paraId="14B4B927" w14:textId="0879ADC9" w:rsidR="00092436" w:rsidRDefault="00092436" w:rsidP="00092436">
      <w:pPr>
        <w:pStyle w:val="Normal1"/>
        <w:rPr>
          <w:highlight w:val="white"/>
          <w:lang w:val="fr-CA"/>
        </w:rPr>
      </w:pPr>
    </w:p>
    <w:p w14:paraId="0AAACFF9" w14:textId="77777777" w:rsidR="00D846F2" w:rsidRDefault="00092436" w:rsidP="00452AE2">
      <w:pPr>
        <w:pStyle w:val="Normal1"/>
        <w:rPr>
          <w:highlight w:val="white"/>
          <w:lang w:val="fr-CA"/>
        </w:rPr>
      </w:pPr>
      <w:r>
        <w:rPr>
          <w:lang w:val="fr-CA"/>
        </w:rPr>
        <w:lastRenderedPageBreak/>
        <w:t xml:space="preserve">ATTENDU QUE </w:t>
      </w:r>
      <w:r w:rsidR="006A7B59">
        <w:rPr>
          <w:highlight w:val="white"/>
          <w:lang w:val="fr-CA"/>
        </w:rPr>
        <w:t xml:space="preserve">le Conseil des droits de l’homme des Nations Unies </w:t>
      </w:r>
      <w:r>
        <w:rPr>
          <w:highlight w:val="white"/>
          <w:lang w:val="fr-CA"/>
        </w:rPr>
        <w:t xml:space="preserve">a </w:t>
      </w:r>
      <w:r w:rsidR="006A7B59" w:rsidRPr="007A058E">
        <w:rPr>
          <w:lang w:val="fr-CA"/>
        </w:rPr>
        <w:t>adopt</w:t>
      </w:r>
      <w:r w:rsidRPr="007A058E">
        <w:rPr>
          <w:lang w:val="fr-CA"/>
        </w:rPr>
        <w:t xml:space="preserve">é le </w:t>
      </w:r>
      <w:r w:rsidR="007A058E" w:rsidRPr="007A058E">
        <w:rPr>
          <w:lang w:val="fr-CA"/>
        </w:rPr>
        <w:t>23 septembre 2011</w:t>
      </w:r>
      <w:r w:rsidRPr="007A058E">
        <w:rPr>
          <w:lang w:val="fr-CA"/>
        </w:rPr>
        <w:t xml:space="preserve"> </w:t>
      </w:r>
      <w:r w:rsidR="006A7B59" w:rsidRPr="007A058E">
        <w:rPr>
          <w:lang w:val="fr-CA"/>
        </w:rPr>
        <w:t xml:space="preserve">une </w:t>
      </w:r>
      <w:r w:rsidR="006A7B59">
        <w:rPr>
          <w:highlight w:val="white"/>
          <w:lang w:val="fr-CA"/>
        </w:rPr>
        <w:t xml:space="preserve">résolution sur </w:t>
      </w:r>
      <w:r>
        <w:rPr>
          <w:highlight w:val="white"/>
          <w:lang w:val="fr-CA"/>
        </w:rPr>
        <w:t>le droit à l’eau potable et aux services d’</w:t>
      </w:r>
      <w:r w:rsidR="006A7B59">
        <w:rPr>
          <w:highlight w:val="white"/>
          <w:lang w:val="fr-CA"/>
        </w:rPr>
        <w:t xml:space="preserve">assainissement, </w:t>
      </w:r>
      <w:r>
        <w:rPr>
          <w:highlight w:val="white"/>
          <w:lang w:val="fr-CA"/>
        </w:rPr>
        <w:t>qui demand</w:t>
      </w:r>
      <w:r w:rsidR="0012139B">
        <w:rPr>
          <w:highlight w:val="white"/>
          <w:lang w:val="fr-CA"/>
        </w:rPr>
        <w:t>e</w:t>
      </w:r>
      <w:r w:rsidR="006A7B59">
        <w:rPr>
          <w:highlight w:val="white"/>
          <w:lang w:val="fr-CA"/>
        </w:rPr>
        <w:t xml:space="preserve"> aux gouvernements d’agir concrètement</w:t>
      </w:r>
      <w:r w:rsidR="00D846F2">
        <w:rPr>
          <w:highlight w:val="white"/>
          <w:lang w:val="fr-CA"/>
        </w:rPr>
        <w:t> :</w:t>
      </w:r>
    </w:p>
    <w:p w14:paraId="3B6C7AA8" w14:textId="77777777" w:rsidR="00D846F2" w:rsidRDefault="00D846F2" w:rsidP="00452AE2">
      <w:pPr>
        <w:pStyle w:val="Normal1"/>
        <w:rPr>
          <w:highlight w:val="white"/>
          <w:lang w:val="fr-CA"/>
        </w:rPr>
      </w:pPr>
    </w:p>
    <w:p w14:paraId="73C49145" w14:textId="1228BED2" w:rsidR="00D846F2" w:rsidRDefault="00092436" w:rsidP="00D846F2">
      <w:pPr>
        <w:pStyle w:val="Normal1"/>
        <w:numPr>
          <w:ilvl w:val="0"/>
          <w:numId w:val="21"/>
        </w:numPr>
        <w:rPr>
          <w:rFonts w:ascii="Calibri" w:hAnsi="Calibri" w:cs="Calibri"/>
          <w:highlight w:val="white"/>
          <w:lang w:val="fr-CA"/>
        </w:rPr>
      </w:pPr>
      <w:r>
        <w:rPr>
          <w:highlight w:val="white"/>
          <w:lang w:val="fr-CA"/>
        </w:rPr>
        <w:t xml:space="preserve">en se dotant </w:t>
      </w:r>
      <w:r w:rsidR="006A7B59">
        <w:rPr>
          <w:highlight w:val="white"/>
          <w:lang w:val="fr-CA"/>
        </w:rPr>
        <w:t>de plans d’action</w:t>
      </w:r>
      <w:r w:rsidR="00D846F2">
        <w:rPr>
          <w:highlight w:val="white"/>
          <w:lang w:val="fr-CA"/>
        </w:rPr>
        <w:t>;</w:t>
      </w:r>
    </w:p>
    <w:p w14:paraId="4557B1BD" w14:textId="1FA1ABF9" w:rsidR="00D846F2" w:rsidRDefault="00092436" w:rsidP="00D846F2">
      <w:pPr>
        <w:pStyle w:val="Normal1"/>
        <w:numPr>
          <w:ilvl w:val="0"/>
          <w:numId w:val="21"/>
        </w:numPr>
        <w:rPr>
          <w:lang w:val="fr-CA"/>
        </w:rPr>
      </w:pPr>
      <w:r>
        <w:rPr>
          <w:highlight w:val="white"/>
          <w:lang w:val="fr-CA"/>
        </w:rPr>
        <w:t>en m</w:t>
      </w:r>
      <w:r w:rsidR="006A7B59">
        <w:rPr>
          <w:highlight w:val="white"/>
          <w:lang w:val="fr-CA"/>
        </w:rPr>
        <w:t>ett</w:t>
      </w:r>
      <w:r>
        <w:rPr>
          <w:highlight w:val="white"/>
          <w:lang w:val="fr-CA"/>
        </w:rPr>
        <w:t>ant</w:t>
      </w:r>
      <w:r w:rsidR="006A7B59">
        <w:rPr>
          <w:highlight w:val="white"/>
          <w:lang w:val="fr-CA"/>
        </w:rPr>
        <w:t xml:space="preserve"> en place des mécanismes de surveillance et </w:t>
      </w:r>
      <w:r w:rsidR="006A7B59" w:rsidRPr="007F046F">
        <w:rPr>
          <w:lang w:val="fr-CA"/>
        </w:rPr>
        <w:t xml:space="preserve">de reddition de comptes pour assurer la participation libre, efficace, significative et non discriminatoire de tous les </w:t>
      </w:r>
      <w:r w:rsidR="007F046F" w:rsidRPr="007F046F">
        <w:rPr>
          <w:lang w:val="fr-CA"/>
        </w:rPr>
        <w:t>citoyens</w:t>
      </w:r>
      <w:r w:rsidR="006A7B59" w:rsidRPr="007F046F">
        <w:rPr>
          <w:lang w:val="fr-CA"/>
        </w:rPr>
        <w:t xml:space="preserve"> et </w:t>
      </w:r>
      <w:r w:rsidR="007F046F" w:rsidRPr="007F046F">
        <w:rPr>
          <w:lang w:val="fr-CA"/>
        </w:rPr>
        <w:t xml:space="preserve">de toutes les </w:t>
      </w:r>
      <w:r w:rsidR="006A7B59" w:rsidRPr="007F046F">
        <w:rPr>
          <w:lang w:val="fr-CA"/>
        </w:rPr>
        <w:t>communautés</w:t>
      </w:r>
      <w:r w:rsidR="00D846F2">
        <w:rPr>
          <w:lang w:val="fr-CA"/>
        </w:rPr>
        <w:t>;</w:t>
      </w:r>
    </w:p>
    <w:p w14:paraId="1BF5B5D9" w14:textId="32FE2E54" w:rsidR="00D846F2" w:rsidRDefault="00092436" w:rsidP="00D846F2">
      <w:pPr>
        <w:pStyle w:val="Normal1"/>
        <w:numPr>
          <w:ilvl w:val="0"/>
          <w:numId w:val="21"/>
        </w:numPr>
        <w:rPr>
          <w:lang w:val="fr-CA"/>
        </w:rPr>
      </w:pPr>
      <w:r>
        <w:rPr>
          <w:lang w:val="fr-CA"/>
        </w:rPr>
        <w:t>en assurant l’accès à des services abordables à toute leur population</w:t>
      </w:r>
      <w:r w:rsidR="00D846F2">
        <w:rPr>
          <w:lang w:val="fr-CA"/>
        </w:rPr>
        <w:t>;</w:t>
      </w:r>
    </w:p>
    <w:p w14:paraId="29CFE544" w14:textId="5C44187E" w:rsidR="00452AE2" w:rsidRDefault="00092436" w:rsidP="00D846F2">
      <w:pPr>
        <w:pStyle w:val="Normal1"/>
        <w:numPr>
          <w:ilvl w:val="0"/>
          <w:numId w:val="21"/>
        </w:numPr>
        <w:rPr>
          <w:rFonts w:ascii="Calibri" w:hAnsi="Calibri" w:cs="Calibri"/>
          <w:lang w:val="fr-CA"/>
        </w:rPr>
      </w:pPr>
      <w:r>
        <w:rPr>
          <w:highlight w:val="white"/>
          <w:lang w:val="fr-CA"/>
        </w:rPr>
        <w:t xml:space="preserve">en </w:t>
      </w:r>
      <w:r w:rsidR="00452AE2">
        <w:rPr>
          <w:highlight w:val="white"/>
          <w:lang w:val="fr-CA"/>
        </w:rPr>
        <w:t>établissant</w:t>
      </w:r>
      <w:r>
        <w:rPr>
          <w:highlight w:val="white"/>
          <w:lang w:val="fr-CA"/>
        </w:rPr>
        <w:t xml:space="preserve"> un cadre de responsabilisation </w:t>
      </w:r>
      <w:r w:rsidR="00452AE2">
        <w:rPr>
          <w:highlight w:val="white"/>
          <w:lang w:val="fr-CA"/>
        </w:rPr>
        <w:t xml:space="preserve">comprenant </w:t>
      </w:r>
      <w:r>
        <w:rPr>
          <w:highlight w:val="white"/>
          <w:lang w:val="fr-CA"/>
        </w:rPr>
        <w:t>de</w:t>
      </w:r>
      <w:r w:rsidR="00452AE2">
        <w:rPr>
          <w:highlight w:val="white"/>
          <w:lang w:val="fr-CA"/>
        </w:rPr>
        <w:t>s</w:t>
      </w:r>
      <w:r>
        <w:rPr>
          <w:highlight w:val="white"/>
          <w:lang w:val="fr-CA"/>
        </w:rPr>
        <w:t xml:space="preserve"> mécanismes de surveillance et </w:t>
      </w:r>
      <w:r w:rsidR="00452AE2">
        <w:rPr>
          <w:highlight w:val="white"/>
          <w:lang w:val="fr-CA"/>
        </w:rPr>
        <w:t xml:space="preserve">de </w:t>
      </w:r>
      <w:r>
        <w:rPr>
          <w:highlight w:val="white"/>
          <w:lang w:val="fr-CA"/>
        </w:rPr>
        <w:t>recours judiciaires</w:t>
      </w:r>
      <w:r w:rsidR="00452AE2">
        <w:rPr>
          <w:highlight w:val="white"/>
          <w:lang w:val="fr-CA"/>
        </w:rPr>
        <w:t xml:space="preserve"> adéquats</w:t>
      </w:r>
      <w:r w:rsidR="00B115D5">
        <w:rPr>
          <w:rFonts w:ascii="Calibri" w:hAnsi="Calibri" w:cs="Calibri"/>
          <w:lang w:val="fr-CA"/>
        </w:rPr>
        <w:t>;</w:t>
      </w:r>
    </w:p>
    <w:p w14:paraId="460704CE" w14:textId="39C25AF5" w:rsidR="00452AE2" w:rsidRDefault="00452AE2" w:rsidP="00452AE2">
      <w:pPr>
        <w:pStyle w:val="Normal1"/>
        <w:rPr>
          <w:rFonts w:ascii="Calibri" w:hAnsi="Calibri" w:cs="Calibri"/>
          <w:highlight w:val="white"/>
          <w:lang w:val="fr-CA"/>
        </w:rPr>
      </w:pPr>
    </w:p>
    <w:p w14:paraId="651023EF" w14:textId="4A5BEA60" w:rsidR="006A7B59" w:rsidRDefault="00452AE2" w:rsidP="00452AE2">
      <w:pPr>
        <w:pStyle w:val="Normal1"/>
        <w:rPr>
          <w:highlight w:val="white"/>
          <w:lang w:val="fr-CA"/>
        </w:rPr>
      </w:pPr>
      <w:r>
        <w:rPr>
          <w:lang w:val="fr-CA"/>
        </w:rPr>
        <w:t>ATTENDU QUE</w:t>
      </w:r>
      <w:r>
        <w:rPr>
          <w:rFonts w:ascii="Calibri" w:hAnsi="Calibri" w:cs="Calibri"/>
          <w:highlight w:val="white"/>
          <w:lang w:val="fr-CA"/>
        </w:rPr>
        <w:t xml:space="preserve"> </w:t>
      </w:r>
      <w:r w:rsidR="006A7B59">
        <w:rPr>
          <w:highlight w:val="white"/>
          <w:lang w:val="fr-CA"/>
        </w:rPr>
        <w:t xml:space="preserve">l’eau embouteillée sert fréquemment de solution de rechange à l’absence d’eau potable dans les communautés autochtones, </w:t>
      </w:r>
      <w:r w:rsidR="00B115D5">
        <w:rPr>
          <w:highlight w:val="white"/>
          <w:lang w:val="fr-CA"/>
        </w:rPr>
        <w:t xml:space="preserve">mais </w:t>
      </w:r>
      <w:r w:rsidR="006A7B59">
        <w:rPr>
          <w:highlight w:val="white"/>
          <w:lang w:val="fr-CA"/>
        </w:rPr>
        <w:t xml:space="preserve">que cette solution n’est ni </w:t>
      </w:r>
      <w:r>
        <w:rPr>
          <w:highlight w:val="white"/>
          <w:lang w:val="fr-CA"/>
        </w:rPr>
        <w:t>environnementale</w:t>
      </w:r>
      <w:r w:rsidR="006A7B59">
        <w:rPr>
          <w:highlight w:val="white"/>
          <w:lang w:val="fr-CA"/>
        </w:rPr>
        <w:t xml:space="preserve"> ni économique</w:t>
      </w:r>
      <w:r w:rsidR="006A7B59">
        <w:rPr>
          <w:rFonts w:ascii="Calibri" w:hAnsi="Calibri" w:cs="Calibri"/>
          <w:highlight w:val="white"/>
          <w:lang w:val="fr-CA"/>
        </w:rPr>
        <w:t> </w:t>
      </w:r>
      <w:r w:rsidR="006A7B59">
        <w:rPr>
          <w:highlight w:val="white"/>
          <w:lang w:val="fr-CA"/>
        </w:rPr>
        <w:t>;</w:t>
      </w:r>
    </w:p>
    <w:p w14:paraId="4F157747" w14:textId="058DC9CB" w:rsidR="00452AE2" w:rsidRDefault="00452AE2" w:rsidP="00452AE2">
      <w:pPr>
        <w:pStyle w:val="Normal1"/>
        <w:rPr>
          <w:highlight w:val="white"/>
          <w:lang w:val="fr-CA"/>
        </w:rPr>
      </w:pPr>
    </w:p>
    <w:p w14:paraId="397CEFCF" w14:textId="2ED70222" w:rsidR="006A7B59" w:rsidRPr="00452AE2" w:rsidRDefault="00452AE2" w:rsidP="00452AE2">
      <w:pPr>
        <w:pStyle w:val="Normal1"/>
        <w:rPr>
          <w:rFonts w:ascii="Calibri" w:hAnsi="Calibri" w:cs="Calibri"/>
          <w:highlight w:val="white"/>
          <w:lang w:val="fr-CA"/>
        </w:rPr>
      </w:pPr>
      <w:r>
        <w:rPr>
          <w:lang w:val="fr-CA"/>
        </w:rPr>
        <w:t>ATTENDU QUE</w:t>
      </w:r>
      <w:r>
        <w:rPr>
          <w:rFonts w:ascii="Calibri" w:hAnsi="Calibri" w:cs="Calibri"/>
          <w:highlight w:val="white"/>
          <w:lang w:val="fr-CA"/>
        </w:rPr>
        <w:t xml:space="preserve"> </w:t>
      </w:r>
      <w:r w:rsidR="006A7B59">
        <w:rPr>
          <w:highlight w:val="white"/>
          <w:lang w:val="fr-CA"/>
        </w:rPr>
        <w:t xml:space="preserve">la </w:t>
      </w:r>
      <w:r w:rsidR="006A7B59">
        <w:rPr>
          <w:i/>
          <w:highlight w:val="white"/>
          <w:lang w:val="fr-CA"/>
        </w:rPr>
        <w:t>Loi sur la salubrité de l’eau potable des Premières Nations</w:t>
      </w:r>
      <w:r w:rsidR="006A7B59">
        <w:rPr>
          <w:highlight w:val="white"/>
          <w:lang w:val="fr-CA"/>
        </w:rPr>
        <w:t xml:space="preserve"> fixe des normes élevées et nécessaires en matière de qualité de l’eau potable, </w:t>
      </w:r>
      <w:r>
        <w:rPr>
          <w:highlight w:val="white"/>
          <w:lang w:val="fr-CA"/>
        </w:rPr>
        <w:t xml:space="preserve">qu’elle </w:t>
      </w:r>
      <w:r w:rsidR="006A7B59">
        <w:rPr>
          <w:highlight w:val="white"/>
          <w:lang w:val="fr-CA"/>
        </w:rPr>
        <w:t xml:space="preserve">a </w:t>
      </w:r>
      <w:r>
        <w:rPr>
          <w:highlight w:val="white"/>
          <w:lang w:val="fr-CA"/>
        </w:rPr>
        <w:t xml:space="preserve">été </w:t>
      </w:r>
      <w:r w:rsidR="006A7B59">
        <w:rPr>
          <w:highlight w:val="white"/>
          <w:lang w:val="fr-CA"/>
        </w:rPr>
        <w:t>adopté</w:t>
      </w:r>
      <w:r>
        <w:rPr>
          <w:highlight w:val="white"/>
          <w:lang w:val="fr-CA"/>
        </w:rPr>
        <w:t>e</w:t>
      </w:r>
      <w:r w:rsidR="006A7B59">
        <w:rPr>
          <w:highlight w:val="white"/>
          <w:lang w:val="fr-CA"/>
        </w:rPr>
        <w:t xml:space="preserve"> sans</w:t>
      </w:r>
      <w:r>
        <w:rPr>
          <w:highlight w:val="white"/>
          <w:lang w:val="fr-CA"/>
        </w:rPr>
        <w:t xml:space="preserve"> avoir obtenu le consentement libre et informé des communautés autochtones et sans financement adéquat et que l</w:t>
      </w:r>
      <w:r w:rsidR="006A7B59">
        <w:rPr>
          <w:highlight w:val="white"/>
          <w:lang w:val="fr-CA"/>
        </w:rPr>
        <w:t>es conditions qu’elle fixe peuvent forcer les communautés autochtones à se tourner vers le privé par l’entremise du Fonds PPP Canada (partenariats public-privé).</w:t>
      </w:r>
    </w:p>
    <w:p w14:paraId="2B08194F" w14:textId="77777777" w:rsidR="006A7B59" w:rsidRDefault="006A7B59" w:rsidP="00BA5CE3">
      <w:pPr>
        <w:pStyle w:val="Normal1"/>
        <w:rPr>
          <w:highlight w:val="white"/>
          <w:lang w:val="fr-CA"/>
        </w:rPr>
      </w:pPr>
    </w:p>
    <w:p w14:paraId="201D6790" w14:textId="7AF65D40" w:rsidR="00452AE2" w:rsidRDefault="00452AE2" w:rsidP="00452AE2">
      <w:pPr>
        <w:pStyle w:val="Normal1"/>
        <w:rPr>
          <w:lang w:val="fr-CA"/>
        </w:rPr>
      </w:pPr>
      <w:r>
        <w:rPr>
          <w:lang w:val="fr-CA"/>
        </w:rPr>
        <w:t xml:space="preserve">QU’IL SOIT RÉSOLU QUE </w:t>
      </w:r>
      <w:r w:rsidR="00097433">
        <w:rPr>
          <w:highlight w:val="white"/>
          <w:lang w:val="fr-CA"/>
        </w:rPr>
        <w:t>[</w:t>
      </w:r>
      <w:r w:rsidR="00097433">
        <w:rPr>
          <w:i/>
          <w:highlight w:val="white"/>
          <w:lang w:val="fr-CA"/>
        </w:rPr>
        <w:t>Nom de la communauté autochtone</w:t>
      </w:r>
      <w:r w:rsidR="00097433">
        <w:rPr>
          <w:highlight w:val="white"/>
          <w:lang w:val="fr-CA"/>
        </w:rPr>
        <w:t xml:space="preserve">] </w:t>
      </w:r>
      <w:r>
        <w:rPr>
          <w:lang w:val="fr-CA"/>
        </w:rPr>
        <w:t>reconnaisse et affirme que le droit à l’eau et aux services d’assainissement</w:t>
      </w:r>
      <w:r>
        <w:rPr>
          <w:rFonts w:ascii="Calibri" w:hAnsi="Calibri" w:cs="Calibri"/>
          <w:lang w:val="fr-CA"/>
        </w:rPr>
        <w:t> </w:t>
      </w:r>
      <w:r>
        <w:rPr>
          <w:lang w:val="fr-CA"/>
        </w:rPr>
        <w:t>est un droit de la personne;</w:t>
      </w:r>
    </w:p>
    <w:p w14:paraId="70B78BD8" w14:textId="4C7CCC23" w:rsidR="00452AE2" w:rsidRDefault="00452AE2" w:rsidP="00452AE2">
      <w:pPr>
        <w:pStyle w:val="Normal1"/>
        <w:rPr>
          <w:lang w:val="fr-CA"/>
        </w:rPr>
      </w:pPr>
    </w:p>
    <w:p w14:paraId="0680AA61" w14:textId="71DE6FBD" w:rsidR="00452AE2" w:rsidRDefault="00452AE2" w:rsidP="00452AE2">
      <w:pPr>
        <w:pStyle w:val="Normal1"/>
        <w:rPr>
          <w:lang w:val="fr-CA"/>
        </w:rPr>
      </w:pPr>
      <w:r>
        <w:rPr>
          <w:lang w:val="fr-CA"/>
        </w:rPr>
        <w:t xml:space="preserve">QU’IL SOIT </w:t>
      </w:r>
      <w:r w:rsidR="00A902F0">
        <w:rPr>
          <w:lang w:val="fr-CA"/>
        </w:rPr>
        <w:t xml:space="preserve">EN OUTRE </w:t>
      </w:r>
      <w:r>
        <w:rPr>
          <w:lang w:val="fr-CA"/>
        </w:rPr>
        <w:t xml:space="preserve">RÉSOLU QUE </w:t>
      </w:r>
      <w:r>
        <w:rPr>
          <w:highlight w:val="white"/>
          <w:lang w:val="fr-CA"/>
        </w:rPr>
        <w:t>[</w:t>
      </w:r>
      <w:r>
        <w:rPr>
          <w:i/>
          <w:highlight w:val="white"/>
          <w:lang w:val="fr-CA"/>
        </w:rPr>
        <w:t>Nom de la communauté autochtone</w:t>
      </w:r>
      <w:r>
        <w:rPr>
          <w:highlight w:val="white"/>
          <w:lang w:val="fr-CA"/>
        </w:rPr>
        <w:t xml:space="preserve">] </w:t>
      </w:r>
      <w:r>
        <w:rPr>
          <w:lang w:val="fr-CA"/>
        </w:rPr>
        <w:t>s’oppose à la privatisation, sous toutes ses formes, des infrastructures et des services d’eau et d’eaux usées, y compris par le biais de PPP, et s’engage à maintenir le financement, la propriété, l’exploitation et la gestion publi</w:t>
      </w:r>
      <w:r w:rsidR="00802FE0">
        <w:rPr>
          <w:lang w:val="fr-CA"/>
        </w:rPr>
        <w:t xml:space="preserve">cs </w:t>
      </w:r>
      <w:r>
        <w:rPr>
          <w:lang w:val="fr-CA"/>
        </w:rPr>
        <w:t>de ces services;</w:t>
      </w:r>
    </w:p>
    <w:p w14:paraId="56B7954A" w14:textId="5BE72760" w:rsidR="00A902F0" w:rsidRDefault="00A902F0" w:rsidP="00452AE2">
      <w:pPr>
        <w:pStyle w:val="Normal1"/>
        <w:rPr>
          <w:lang w:val="fr-CA"/>
        </w:rPr>
      </w:pPr>
    </w:p>
    <w:p w14:paraId="4CEFBEBA" w14:textId="1E1FD087" w:rsidR="00981FD5" w:rsidRDefault="00A902F0" w:rsidP="00A902F0">
      <w:pPr>
        <w:pStyle w:val="Normal1"/>
        <w:rPr>
          <w:lang w:val="fr-CA"/>
        </w:rPr>
      </w:pPr>
      <w:r>
        <w:rPr>
          <w:lang w:val="fr-CA"/>
        </w:rPr>
        <w:t xml:space="preserve">QU’IL SOIT EN OUTRE RÉSOLU QUE </w:t>
      </w:r>
      <w:r>
        <w:rPr>
          <w:highlight w:val="white"/>
          <w:lang w:val="fr-CA"/>
        </w:rPr>
        <w:t>[</w:t>
      </w:r>
      <w:r>
        <w:rPr>
          <w:i/>
          <w:highlight w:val="white"/>
          <w:lang w:val="fr-CA"/>
        </w:rPr>
        <w:t>Nom de la communauté autochtone</w:t>
      </w:r>
      <w:r>
        <w:rPr>
          <w:highlight w:val="white"/>
          <w:lang w:val="fr-CA"/>
        </w:rPr>
        <w:t>]</w:t>
      </w:r>
      <w:r>
        <w:rPr>
          <w:lang w:val="fr-CA"/>
        </w:rPr>
        <w:t xml:space="preserve"> demande au</w:t>
      </w:r>
      <w:r w:rsidR="00981FD5">
        <w:rPr>
          <w:lang w:val="fr-CA"/>
        </w:rPr>
        <w:t xml:space="preserve"> gouvernement fédéral </w:t>
      </w:r>
      <w:r>
        <w:rPr>
          <w:lang w:val="fr-CA"/>
        </w:rPr>
        <w:t>de</w:t>
      </w:r>
      <w:r w:rsidR="00981FD5">
        <w:rPr>
          <w:lang w:val="fr-CA"/>
        </w:rPr>
        <w:t xml:space="preserve"> consacre</w:t>
      </w:r>
      <w:r>
        <w:rPr>
          <w:lang w:val="fr-CA"/>
        </w:rPr>
        <w:t>r</w:t>
      </w:r>
      <w:r w:rsidR="00981FD5">
        <w:rPr>
          <w:lang w:val="fr-CA"/>
        </w:rPr>
        <w:t xml:space="preserve"> une enveloppe de 4,7 milliards de dollars aux infrastructures d’eau et d’eaux usées dans les communautés autochtones, comme l’a réclamé l’évaluation technique nationale, et </w:t>
      </w:r>
      <w:r w:rsidR="00B115D5">
        <w:rPr>
          <w:lang w:val="fr-CA"/>
        </w:rPr>
        <w:t>qu’il s’engage à</w:t>
      </w:r>
      <w:r>
        <w:rPr>
          <w:lang w:val="fr-CA"/>
        </w:rPr>
        <w:t xml:space="preserve"> ne pas rendre son financement </w:t>
      </w:r>
      <w:r w:rsidR="00981FD5">
        <w:rPr>
          <w:lang w:val="fr-CA"/>
        </w:rPr>
        <w:t>conditionnel à la mise en place de PPP</w:t>
      </w:r>
      <w:r w:rsidR="00300AEB">
        <w:rPr>
          <w:lang w:val="fr-CA"/>
        </w:rPr>
        <w:t>;</w:t>
      </w:r>
    </w:p>
    <w:p w14:paraId="4C956CF2" w14:textId="1B816C30" w:rsidR="00A902F0" w:rsidRDefault="00A902F0" w:rsidP="00A902F0">
      <w:pPr>
        <w:pStyle w:val="Normal1"/>
        <w:rPr>
          <w:lang w:val="fr-CA"/>
        </w:rPr>
      </w:pPr>
    </w:p>
    <w:p w14:paraId="6AAD96C9" w14:textId="458F8CFB" w:rsidR="00A902F0" w:rsidRDefault="00A902F0" w:rsidP="00A902F0">
      <w:pPr>
        <w:pStyle w:val="Normal1"/>
        <w:rPr>
          <w:lang w:val="fr-CA"/>
        </w:rPr>
      </w:pPr>
      <w:r>
        <w:rPr>
          <w:lang w:val="fr-CA"/>
        </w:rPr>
        <w:t xml:space="preserve">QU’IL SOIT EN OUTRE RÉSOLU QUE </w:t>
      </w:r>
      <w:r>
        <w:rPr>
          <w:highlight w:val="white"/>
          <w:lang w:val="fr-CA"/>
        </w:rPr>
        <w:t>[</w:t>
      </w:r>
      <w:r>
        <w:rPr>
          <w:i/>
          <w:highlight w:val="white"/>
          <w:lang w:val="fr-CA"/>
        </w:rPr>
        <w:t>Nom de la communauté autochtone</w:t>
      </w:r>
      <w:r>
        <w:rPr>
          <w:highlight w:val="white"/>
          <w:lang w:val="fr-CA"/>
        </w:rPr>
        <w:t>]</w:t>
      </w:r>
      <w:r>
        <w:rPr>
          <w:lang w:val="fr-CA"/>
        </w:rPr>
        <w:t xml:space="preserve"> mette fin à la vente de bouteilles d’eau jetables dans les installations communautaires et lors des activités communautaires</w:t>
      </w:r>
      <w:r w:rsidRPr="00E81694">
        <w:rPr>
          <w:lang w:val="fr-CA"/>
        </w:rPr>
        <w:t>, et ce, à condition qu’on ait accès à l’eau potable municipale dans ces installations</w:t>
      </w:r>
      <w:r>
        <w:rPr>
          <w:lang w:val="fr-CA"/>
        </w:rPr>
        <w:t xml:space="preserve"> et lors de ces activités</w:t>
      </w:r>
      <w:r w:rsidRPr="00E81694">
        <w:rPr>
          <w:lang w:val="fr-CA"/>
        </w:rPr>
        <w:t>;</w:t>
      </w:r>
    </w:p>
    <w:p w14:paraId="2B2C4110" w14:textId="5BC8DCF3" w:rsidR="00A902F0" w:rsidRDefault="00A902F0" w:rsidP="00A902F0">
      <w:pPr>
        <w:pStyle w:val="Normal1"/>
        <w:rPr>
          <w:lang w:val="fr-CA"/>
        </w:rPr>
      </w:pPr>
    </w:p>
    <w:p w14:paraId="4FBDEF44" w14:textId="2F204D08" w:rsidR="00981FD5" w:rsidRDefault="00A902F0" w:rsidP="00A902F0">
      <w:pPr>
        <w:pStyle w:val="Normal1"/>
        <w:rPr>
          <w:lang w:val="fr-CA"/>
        </w:rPr>
      </w:pPr>
      <w:r>
        <w:rPr>
          <w:lang w:val="fr-CA"/>
        </w:rPr>
        <w:t xml:space="preserve">QU’IL SOIT EN OUTRE RÉSOLU QUE </w:t>
      </w:r>
      <w:r>
        <w:rPr>
          <w:highlight w:val="white"/>
          <w:lang w:val="fr-CA"/>
        </w:rPr>
        <w:t>[</w:t>
      </w:r>
      <w:r>
        <w:rPr>
          <w:i/>
          <w:highlight w:val="white"/>
          <w:lang w:val="fr-CA"/>
        </w:rPr>
        <w:t>Nom de la communauté autochtone</w:t>
      </w:r>
      <w:r>
        <w:rPr>
          <w:highlight w:val="white"/>
          <w:lang w:val="fr-CA"/>
        </w:rPr>
        <w:t>]</w:t>
      </w:r>
      <w:r>
        <w:rPr>
          <w:lang w:val="fr-CA"/>
        </w:rPr>
        <w:t xml:space="preserve"> </w:t>
      </w:r>
      <w:r>
        <w:rPr>
          <w:highlight w:val="white"/>
          <w:lang w:val="fr-CA"/>
        </w:rPr>
        <w:t>demande</w:t>
      </w:r>
      <w:r w:rsidR="00981FD5">
        <w:rPr>
          <w:highlight w:val="white"/>
          <w:lang w:val="fr-CA"/>
        </w:rPr>
        <w:t xml:space="preserve"> à son chef et son conseil d</w:t>
      </w:r>
      <w:r w:rsidR="00B115D5">
        <w:rPr>
          <w:highlight w:val="white"/>
          <w:lang w:val="fr-CA"/>
        </w:rPr>
        <w:t xml:space="preserve">’acheminer </w:t>
      </w:r>
      <w:r w:rsidR="00981FD5">
        <w:rPr>
          <w:highlight w:val="white"/>
          <w:lang w:val="fr-CA"/>
        </w:rPr>
        <w:t>cette résolution à l’Assemblée des Premières Nations, pour que celle-ci la distribue à toutes les Premières Nations</w:t>
      </w:r>
      <w:r w:rsidR="00300AEB">
        <w:rPr>
          <w:highlight w:val="white"/>
          <w:lang w:val="fr-CA"/>
        </w:rPr>
        <w:t>;</w:t>
      </w:r>
    </w:p>
    <w:p w14:paraId="6C1D51D7" w14:textId="0537E934" w:rsidR="00A902F0" w:rsidRDefault="00A902F0" w:rsidP="00A902F0">
      <w:pPr>
        <w:pStyle w:val="Normal1"/>
        <w:rPr>
          <w:lang w:val="fr-CA"/>
        </w:rPr>
      </w:pPr>
      <w:r>
        <w:rPr>
          <w:lang w:val="fr-CA"/>
        </w:rPr>
        <w:lastRenderedPageBreak/>
        <w:t xml:space="preserve">QU’IL SOIT EN OUTRE RÉSOLU QUE </w:t>
      </w:r>
      <w:r>
        <w:rPr>
          <w:highlight w:val="white"/>
          <w:lang w:val="fr-CA"/>
        </w:rPr>
        <w:t>[</w:t>
      </w:r>
      <w:r>
        <w:rPr>
          <w:i/>
          <w:highlight w:val="white"/>
          <w:lang w:val="fr-CA"/>
        </w:rPr>
        <w:t>Nom de la communauté autochtone</w:t>
      </w:r>
      <w:r>
        <w:rPr>
          <w:highlight w:val="white"/>
          <w:lang w:val="fr-CA"/>
        </w:rPr>
        <w:t>]</w:t>
      </w:r>
      <w:r>
        <w:rPr>
          <w:lang w:val="fr-CA"/>
        </w:rPr>
        <w:t xml:space="preserve"> demande aux gouvernements fédéral et provincial d’enchâsser le droit à l’eau et aux services d</w:t>
      </w:r>
      <w:r w:rsidR="00B115D5">
        <w:rPr>
          <w:lang w:val="fr-CA"/>
        </w:rPr>
        <w:t>’assain</w:t>
      </w:r>
      <w:r>
        <w:rPr>
          <w:lang w:val="fr-CA"/>
        </w:rPr>
        <w:t>issement dans leurs lois respectives;</w:t>
      </w:r>
    </w:p>
    <w:p w14:paraId="43C87661" w14:textId="7C724E90" w:rsidR="00A902F0" w:rsidRDefault="00A902F0" w:rsidP="00A902F0">
      <w:pPr>
        <w:pStyle w:val="Normal1"/>
        <w:rPr>
          <w:lang w:val="fr-CA"/>
        </w:rPr>
      </w:pPr>
    </w:p>
    <w:p w14:paraId="2EC41A1C" w14:textId="7E1C6475" w:rsidR="00672870" w:rsidRDefault="00A902F0" w:rsidP="00D36318">
      <w:pPr>
        <w:pStyle w:val="Normal1"/>
        <w:rPr>
          <w:lang w:val="fr-CA"/>
        </w:rPr>
      </w:pPr>
      <w:r>
        <w:rPr>
          <w:lang w:val="fr-CA"/>
        </w:rPr>
        <w:t xml:space="preserve">QU’IL SOIT EN OUTRE RÉSOLU QUE </w:t>
      </w:r>
      <w:r>
        <w:rPr>
          <w:highlight w:val="white"/>
          <w:lang w:val="fr-CA"/>
        </w:rPr>
        <w:t>[</w:t>
      </w:r>
      <w:r>
        <w:rPr>
          <w:i/>
          <w:highlight w:val="white"/>
          <w:lang w:val="fr-CA"/>
        </w:rPr>
        <w:t>Nom de la communauté autochtone</w:t>
      </w:r>
      <w:r>
        <w:rPr>
          <w:highlight w:val="white"/>
          <w:lang w:val="fr-CA"/>
        </w:rPr>
        <w:t>]</w:t>
      </w:r>
      <w:r w:rsidR="00D36318">
        <w:rPr>
          <w:lang w:val="fr-CA"/>
        </w:rPr>
        <w:t xml:space="preserve"> demande au gouvernement fédéral de se doter d’un plan national d’action en vue de faire respecter le droit à l’eau et aux services d’assainissement.</w:t>
      </w:r>
    </w:p>
    <w:p w14:paraId="26A878B0" w14:textId="77777777" w:rsidR="002074BE" w:rsidRDefault="002074BE" w:rsidP="00D36318">
      <w:pPr>
        <w:pStyle w:val="Normal1"/>
        <w:rPr>
          <w:lang w:val="fr-CA"/>
        </w:rPr>
      </w:pPr>
    </w:p>
    <w:p w14:paraId="282AB6F4" w14:textId="77777777" w:rsidR="002074BE" w:rsidRDefault="002074BE" w:rsidP="00D36318">
      <w:pPr>
        <w:pStyle w:val="Normal1"/>
        <w:rPr>
          <w:lang w:val="fr-CA"/>
        </w:rPr>
      </w:pPr>
    </w:p>
    <w:p w14:paraId="09B97F44" w14:textId="77777777" w:rsidR="002074BE" w:rsidRDefault="002074BE" w:rsidP="00D36318">
      <w:pPr>
        <w:pStyle w:val="Normal1"/>
        <w:rPr>
          <w:lang w:val="fr-CA"/>
        </w:rPr>
      </w:pPr>
    </w:p>
    <w:p w14:paraId="2C541844" w14:textId="77777777" w:rsidR="002074BE" w:rsidRDefault="002074BE" w:rsidP="00D36318">
      <w:pPr>
        <w:pStyle w:val="Normal1"/>
        <w:rPr>
          <w:lang w:val="fr-CA"/>
        </w:rPr>
      </w:pPr>
    </w:p>
    <w:p w14:paraId="3133A3E6" w14:textId="77777777" w:rsidR="002074BE" w:rsidRDefault="002074BE" w:rsidP="00D36318">
      <w:pPr>
        <w:pStyle w:val="Normal1"/>
        <w:rPr>
          <w:lang w:val="fr-CA"/>
        </w:rPr>
      </w:pPr>
    </w:p>
    <w:p w14:paraId="25237510" w14:textId="77777777" w:rsidR="002074BE" w:rsidRDefault="002074BE" w:rsidP="00D36318">
      <w:pPr>
        <w:pStyle w:val="Normal1"/>
        <w:rPr>
          <w:lang w:val="fr-CA"/>
        </w:rPr>
      </w:pPr>
    </w:p>
    <w:p w14:paraId="5C4EBDBA" w14:textId="53D17D62" w:rsidR="002074BE" w:rsidRPr="002074BE" w:rsidRDefault="002074BE" w:rsidP="00D36318">
      <w:pPr>
        <w:pStyle w:val="Normal1"/>
        <w:rPr>
          <w:sz w:val="16"/>
          <w:szCs w:val="16"/>
          <w:lang w:val="fr-CA"/>
        </w:rPr>
      </w:pPr>
      <w:proofErr w:type="gramStart"/>
      <w:r w:rsidRPr="002074BE">
        <w:rPr>
          <w:sz w:val="16"/>
          <w:szCs w:val="16"/>
          <w:lang w:val="fr-CA"/>
        </w:rPr>
        <w:t>:ms</w:t>
      </w:r>
      <w:proofErr w:type="gramEnd"/>
      <w:r w:rsidRPr="002074BE">
        <w:rPr>
          <w:sz w:val="16"/>
          <w:szCs w:val="16"/>
          <w:lang w:val="fr-CA"/>
        </w:rPr>
        <w:t>/</w:t>
      </w:r>
      <w:proofErr w:type="spellStart"/>
      <w:r w:rsidRPr="002074BE">
        <w:rPr>
          <w:sz w:val="16"/>
          <w:szCs w:val="16"/>
          <w:lang w:val="fr-CA"/>
        </w:rPr>
        <w:t>sepb</w:t>
      </w:r>
      <w:proofErr w:type="spellEnd"/>
      <w:r w:rsidRPr="002074BE">
        <w:rPr>
          <w:sz w:val="16"/>
          <w:szCs w:val="16"/>
          <w:lang w:val="fr-CA"/>
        </w:rPr>
        <w:t xml:space="preserve"> 491</w:t>
      </w:r>
    </w:p>
    <w:sectPr w:rsidR="002074BE" w:rsidRPr="002074BE" w:rsidSect="0067287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8C52D" w14:textId="77777777" w:rsidR="000B5C72" w:rsidRDefault="000B5C72" w:rsidP="00672870">
      <w:pPr>
        <w:spacing w:line="240" w:lineRule="auto"/>
      </w:pPr>
      <w:r>
        <w:separator/>
      </w:r>
    </w:p>
  </w:endnote>
  <w:endnote w:type="continuationSeparator" w:id="0">
    <w:p w14:paraId="2DF8836B" w14:textId="77777777" w:rsidR="000B5C72" w:rsidRDefault="000B5C72" w:rsidP="00672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ECB13" w14:textId="77777777" w:rsidR="00CA758B" w:rsidRDefault="00CA75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732A9" w14:textId="77777777" w:rsidR="00CA758B" w:rsidRDefault="00CA758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41417" w14:textId="77777777" w:rsidR="00CA758B" w:rsidRDefault="00CA75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CE593" w14:textId="77777777" w:rsidR="000B5C72" w:rsidRDefault="000B5C72" w:rsidP="00672870">
      <w:pPr>
        <w:spacing w:line="240" w:lineRule="auto"/>
      </w:pPr>
      <w:r>
        <w:separator/>
      </w:r>
    </w:p>
  </w:footnote>
  <w:footnote w:type="continuationSeparator" w:id="0">
    <w:p w14:paraId="6A8E9172" w14:textId="77777777" w:rsidR="000B5C72" w:rsidRDefault="000B5C72" w:rsidP="0067287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8D88D" w14:textId="77777777" w:rsidR="00CA758B" w:rsidRDefault="00CA758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FB2C9" w14:textId="77777777" w:rsidR="00CA758B" w:rsidRDefault="00CA758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63473" w14:textId="77777777" w:rsidR="00CA758B" w:rsidRDefault="00CA75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039E"/>
    <w:multiLevelType w:val="hybridMultilevel"/>
    <w:tmpl w:val="0AC21C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A90C1E"/>
    <w:multiLevelType w:val="hybridMultilevel"/>
    <w:tmpl w:val="FC6C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E6F9A"/>
    <w:multiLevelType w:val="multilevel"/>
    <w:tmpl w:val="6E3699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467339A"/>
    <w:multiLevelType w:val="hybridMultilevel"/>
    <w:tmpl w:val="BF9C4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0902C7"/>
    <w:multiLevelType w:val="multilevel"/>
    <w:tmpl w:val="6D84CE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1B82AAA"/>
    <w:multiLevelType w:val="hybridMultilevel"/>
    <w:tmpl w:val="F4C6EA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E66C24"/>
    <w:multiLevelType w:val="hybridMultilevel"/>
    <w:tmpl w:val="F2AEC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EA75EE"/>
    <w:multiLevelType w:val="multilevel"/>
    <w:tmpl w:val="FFD2CE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6830749"/>
    <w:multiLevelType w:val="multilevel"/>
    <w:tmpl w:val="37B8FB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C3B6F7C"/>
    <w:multiLevelType w:val="multilevel"/>
    <w:tmpl w:val="6C8CA0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0890E1C"/>
    <w:multiLevelType w:val="multilevel"/>
    <w:tmpl w:val="ED86CD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16169B6"/>
    <w:multiLevelType w:val="multilevel"/>
    <w:tmpl w:val="549435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29A5965"/>
    <w:multiLevelType w:val="hybridMultilevel"/>
    <w:tmpl w:val="8812A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4F788C"/>
    <w:multiLevelType w:val="multilevel"/>
    <w:tmpl w:val="BEE87B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C925534"/>
    <w:multiLevelType w:val="hybridMultilevel"/>
    <w:tmpl w:val="06462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71749B6"/>
    <w:multiLevelType w:val="multilevel"/>
    <w:tmpl w:val="1EF4D66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63F14F7B"/>
    <w:multiLevelType w:val="hybridMultilevel"/>
    <w:tmpl w:val="D94A77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72741CE9"/>
    <w:multiLevelType w:val="hybridMultilevel"/>
    <w:tmpl w:val="BA94307E"/>
    <w:lvl w:ilvl="0" w:tplc="040C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735607E0"/>
    <w:multiLevelType w:val="multilevel"/>
    <w:tmpl w:val="7452D5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ABF4873"/>
    <w:multiLevelType w:val="hybridMultilevel"/>
    <w:tmpl w:val="4B2EB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F5648BC"/>
    <w:multiLevelType w:val="hybridMultilevel"/>
    <w:tmpl w:val="0A584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
  </w:num>
  <w:num w:numId="4">
    <w:abstractNumId w:val="9"/>
  </w:num>
  <w:num w:numId="5">
    <w:abstractNumId w:val="8"/>
  </w:num>
  <w:num w:numId="6">
    <w:abstractNumId w:val="7"/>
  </w:num>
  <w:num w:numId="7">
    <w:abstractNumId w:val="11"/>
  </w:num>
  <w:num w:numId="8">
    <w:abstractNumId w:val="4"/>
  </w:num>
  <w:num w:numId="9">
    <w:abstractNumId w:val="18"/>
  </w:num>
  <w:num w:numId="10">
    <w:abstractNumId w:val="13"/>
  </w:num>
  <w:num w:numId="11">
    <w:abstractNumId w:val="12"/>
  </w:num>
  <w:num w:numId="12">
    <w:abstractNumId w:val="14"/>
  </w:num>
  <w:num w:numId="13">
    <w:abstractNumId w:val="3"/>
  </w:num>
  <w:num w:numId="14">
    <w:abstractNumId w:val="20"/>
  </w:num>
  <w:num w:numId="15">
    <w:abstractNumId w:val="6"/>
  </w:num>
  <w:num w:numId="16">
    <w:abstractNumId w:val="0"/>
  </w:num>
  <w:num w:numId="17">
    <w:abstractNumId w:val="19"/>
  </w:num>
  <w:num w:numId="18">
    <w:abstractNumId w:val="5"/>
  </w:num>
  <w:num w:numId="19">
    <w:abstractNumId w:val="1"/>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70"/>
    <w:rsid w:val="0000657D"/>
    <w:rsid w:val="00035CB8"/>
    <w:rsid w:val="00050911"/>
    <w:rsid w:val="00050F32"/>
    <w:rsid w:val="00052B17"/>
    <w:rsid w:val="00070813"/>
    <w:rsid w:val="00076ECA"/>
    <w:rsid w:val="00092436"/>
    <w:rsid w:val="00097433"/>
    <w:rsid w:val="000B18C3"/>
    <w:rsid w:val="000B5C72"/>
    <w:rsid w:val="000B7E8F"/>
    <w:rsid w:val="000E09E9"/>
    <w:rsid w:val="000E311B"/>
    <w:rsid w:val="000E41AE"/>
    <w:rsid w:val="000E42F6"/>
    <w:rsid w:val="00100041"/>
    <w:rsid w:val="0012139B"/>
    <w:rsid w:val="00122A45"/>
    <w:rsid w:val="0013168C"/>
    <w:rsid w:val="00147A25"/>
    <w:rsid w:val="00153DD8"/>
    <w:rsid w:val="00162BAD"/>
    <w:rsid w:val="00166A17"/>
    <w:rsid w:val="00173E6B"/>
    <w:rsid w:val="00176809"/>
    <w:rsid w:val="001C3A16"/>
    <w:rsid w:val="001D7E43"/>
    <w:rsid w:val="00200522"/>
    <w:rsid w:val="002074BE"/>
    <w:rsid w:val="00223803"/>
    <w:rsid w:val="00225344"/>
    <w:rsid w:val="00251BDD"/>
    <w:rsid w:val="002525A3"/>
    <w:rsid w:val="002660FA"/>
    <w:rsid w:val="002B4BB1"/>
    <w:rsid w:val="002D5EE4"/>
    <w:rsid w:val="002D6C5E"/>
    <w:rsid w:val="002E4DB7"/>
    <w:rsid w:val="002F6768"/>
    <w:rsid w:val="00300AEB"/>
    <w:rsid w:val="00304151"/>
    <w:rsid w:val="003443F3"/>
    <w:rsid w:val="00356085"/>
    <w:rsid w:val="00360DD5"/>
    <w:rsid w:val="00390960"/>
    <w:rsid w:val="003A2524"/>
    <w:rsid w:val="003A70D7"/>
    <w:rsid w:val="0043336E"/>
    <w:rsid w:val="00452AE2"/>
    <w:rsid w:val="0047281F"/>
    <w:rsid w:val="00475C2E"/>
    <w:rsid w:val="004C01F8"/>
    <w:rsid w:val="00514A34"/>
    <w:rsid w:val="00534052"/>
    <w:rsid w:val="005354BC"/>
    <w:rsid w:val="00590063"/>
    <w:rsid w:val="00590A5B"/>
    <w:rsid w:val="00637867"/>
    <w:rsid w:val="00672870"/>
    <w:rsid w:val="00672967"/>
    <w:rsid w:val="006738B5"/>
    <w:rsid w:val="006A7B59"/>
    <w:rsid w:val="006B3EDA"/>
    <w:rsid w:val="006B6C03"/>
    <w:rsid w:val="006C03C7"/>
    <w:rsid w:val="006C4E51"/>
    <w:rsid w:val="006C65FB"/>
    <w:rsid w:val="00701933"/>
    <w:rsid w:val="0075498D"/>
    <w:rsid w:val="007828FA"/>
    <w:rsid w:val="007A058E"/>
    <w:rsid w:val="007A7582"/>
    <w:rsid w:val="007D093F"/>
    <w:rsid w:val="007D179C"/>
    <w:rsid w:val="007D62BF"/>
    <w:rsid w:val="007D6DAF"/>
    <w:rsid w:val="007F046F"/>
    <w:rsid w:val="00802FE0"/>
    <w:rsid w:val="0085787C"/>
    <w:rsid w:val="0088651F"/>
    <w:rsid w:val="008A1A7A"/>
    <w:rsid w:val="008A6E60"/>
    <w:rsid w:val="008D366E"/>
    <w:rsid w:val="008F22A6"/>
    <w:rsid w:val="00937F5A"/>
    <w:rsid w:val="00951CD1"/>
    <w:rsid w:val="009731D7"/>
    <w:rsid w:val="00981FD5"/>
    <w:rsid w:val="00995B6B"/>
    <w:rsid w:val="009A3161"/>
    <w:rsid w:val="009F534B"/>
    <w:rsid w:val="00A019DA"/>
    <w:rsid w:val="00A52BE2"/>
    <w:rsid w:val="00A53D44"/>
    <w:rsid w:val="00A84C16"/>
    <w:rsid w:val="00A902F0"/>
    <w:rsid w:val="00AA63C3"/>
    <w:rsid w:val="00AE39C7"/>
    <w:rsid w:val="00B115D5"/>
    <w:rsid w:val="00B339F6"/>
    <w:rsid w:val="00B81E46"/>
    <w:rsid w:val="00BA5CE3"/>
    <w:rsid w:val="00BF768C"/>
    <w:rsid w:val="00C11727"/>
    <w:rsid w:val="00C518D6"/>
    <w:rsid w:val="00C573A9"/>
    <w:rsid w:val="00C634FE"/>
    <w:rsid w:val="00CA758B"/>
    <w:rsid w:val="00CD25AF"/>
    <w:rsid w:val="00CF38B1"/>
    <w:rsid w:val="00D07243"/>
    <w:rsid w:val="00D21F7E"/>
    <w:rsid w:val="00D23937"/>
    <w:rsid w:val="00D27363"/>
    <w:rsid w:val="00D277DA"/>
    <w:rsid w:val="00D2796D"/>
    <w:rsid w:val="00D36318"/>
    <w:rsid w:val="00D426D6"/>
    <w:rsid w:val="00D737F8"/>
    <w:rsid w:val="00D846F2"/>
    <w:rsid w:val="00DC6987"/>
    <w:rsid w:val="00DE1523"/>
    <w:rsid w:val="00E02281"/>
    <w:rsid w:val="00E17F2F"/>
    <w:rsid w:val="00E2312E"/>
    <w:rsid w:val="00E6037C"/>
    <w:rsid w:val="00E63561"/>
    <w:rsid w:val="00E72ABE"/>
    <w:rsid w:val="00E81694"/>
    <w:rsid w:val="00EB153A"/>
    <w:rsid w:val="00EE5404"/>
    <w:rsid w:val="00EF0D62"/>
    <w:rsid w:val="00EF48AA"/>
    <w:rsid w:val="00F010EE"/>
    <w:rsid w:val="00F1448D"/>
    <w:rsid w:val="00F20378"/>
    <w:rsid w:val="00F506E6"/>
    <w:rsid w:val="00F62C65"/>
    <w:rsid w:val="00F738E8"/>
    <w:rsid w:val="00F75020"/>
    <w:rsid w:val="00F85FD5"/>
    <w:rsid w:val="00FA2725"/>
    <w:rsid w:val="00FF08E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A6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67287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rsid w:val="0067287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rsid w:val="0067287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rsid w:val="0067287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67287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67287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72870"/>
  </w:style>
  <w:style w:type="paragraph" w:styleId="Title">
    <w:name w:val="Title"/>
    <w:basedOn w:val="Normal1"/>
    <w:next w:val="Normal1"/>
    <w:rsid w:val="00672870"/>
    <w:pPr>
      <w:keepNext/>
      <w:keepLines/>
      <w:contextualSpacing/>
    </w:pPr>
    <w:rPr>
      <w:rFonts w:ascii="Trebuchet MS" w:eastAsia="Trebuchet MS" w:hAnsi="Trebuchet MS" w:cs="Trebuchet MS"/>
      <w:sz w:val="42"/>
      <w:szCs w:val="42"/>
    </w:rPr>
  </w:style>
  <w:style w:type="paragraph" w:styleId="Subtitle">
    <w:name w:val="Subtitle"/>
    <w:basedOn w:val="Normal1"/>
    <w:next w:val="Normal1"/>
    <w:rsid w:val="00672870"/>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22380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23803"/>
    <w:rPr>
      <w:rFonts w:ascii="Lucida Grande" w:hAnsi="Lucida Grande"/>
      <w:sz w:val="18"/>
      <w:szCs w:val="18"/>
    </w:rPr>
  </w:style>
  <w:style w:type="character" w:styleId="CommentReference">
    <w:name w:val="annotation reference"/>
    <w:basedOn w:val="DefaultParagraphFont"/>
    <w:uiPriority w:val="99"/>
    <w:semiHidden/>
    <w:unhideWhenUsed/>
    <w:rsid w:val="00223803"/>
    <w:rPr>
      <w:sz w:val="18"/>
      <w:szCs w:val="18"/>
    </w:rPr>
  </w:style>
  <w:style w:type="paragraph" w:styleId="CommentText">
    <w:name w:val="annotation text"/>
    <w:basedOn w:val="Normal"/>
    <w:link w:val="CommentTextChar"/>
    <w:uiPriority w:val="99"/>
    <w:semiHidden/>
    <w:unhideWhenUsed/>
    <w:rsid w:val="00223803"/>
    <w:pPr>
      <w:spacing w:line="240" w:lineRule="auto"/>
    </w:pPr>
    <w:rPr>
      <w:sz w:val="24"/>
      <w:szCs w:val="24"/>
    </w:rPr>
  </w:style>
  <w:style w:type="character" w:customStyle="1" w:styleId="CommentTextChar">
    <w:name w:val="Comment Text Char"/>
    <w:basedOn w:val="DefaultParagraphFont"/>
    <w:link w:val="CommentText"/>
    <w:uiPriority w:val="99"/>
    <w:semiHidden/>
    <w:rsid w:val="00223803"/>
    <w:rPr>
      <w:sz w:val="24"/>
      <w:szCs w:val="24"/>
    </w:rPr>
  </w:style>
  <w:style w:type="paragraph" w:styleId="CommentSubject">
    <w:name w:val="annotation subject"/>
    <w:basedOn w:val="CommentText"/>
    <w:next w:val="CommentText"/>
    <w:link w:val="CommentSubjectChar"/>
    <w:uiPriority w:val="99"/>
    <w:semiHidden/>
    <w:unhideWhenUsed/>
    <w:rsid w:val="00223803"/>
    <w:rPr>
      <w:b/>
      <w:bCs/>
      <w:sz w:val="20"/>
      <w:szCs w:val="20"/>
    </w:rPr>
  </w:style>
  <w:style w:type="character" w:customStyle="1" w:styleId="CommentSubjectChar">
    <w:name w:val="Comment Subject Char"/>
    <w:basedOn w:val="CommentTextChar"/>
    <w:link w:val="CommentSubject"/>
    <w:uiPriority w:val="99"/>
    <w:semiHidden/>
    <w:rsid w:val="00223803"/>
    <w:rPr>
      <w:b/>
      <w:bCs/>
      <w:sz w:val="20"/>
      <w:szCs w:val="20"/>
    </w:rPr>
  </w:style>
  <w:style w:type="paragraph" w:styleId="FootnoteText">
    <w:name w:val="footnote text"/>
    <w:basedOn w:val="Normal"/>
    <w:link w:val="FootnoteTextChar"/>
    <w:uiPriority w:val="99"/>
    <w:semiHidden/>
    <w:unhideWhenUsed/>
    <w:rsid w:val="00147A25"/>
    <w:pPr>
      <w:spacing w:line="240" w:lineRule="auto"/>
    </w:pPr>
    <w:rPr>
      <w:sz w:val="20"/>
      <w:szCs w:val="20"/>
    </w:rPr>
  </w:style>
  <w:style w:type="character" w:customStyle="1" w:styleId="FootnoteTextChar">
    <w:name w:val="Footnote Text Char"/>
    <w:basedOn w:val="DefaultParagraphFont"/>
    <w:link w:val="FootnoteText"/>
    <w:uiPriority w:val="99"/>
    <w:semiHidden/>
    <w:rsid w:val="00147A25"/>
    <w:rPr>
      <w:sz w:val="20"/>
      <w:szCs w:val="20"/>
    </w:rPr>
  </w:style>
  <w:style w:type="character" w:styleId="FootnoteReference">
    <w:name w:val="footnote reference"/>
    <w:basedOn w:val="DefaultParagraphFont"/>
    <w:uiPriority w:val="99"/>
    <w:semiHidden/>
    <w:unhideWhenUsed/>
    <w:rsid w:val="00147A25"/>
    <w:rPr>
      <w:vertAlign w:val="superscript"/>
    </w:rPr>
  </w:style>
  <w:style w:type="character" w:styleId="Hyperlink">
    <w:name w:val="Hyperlink"/>
    <w:basedOn w:val="DefaultParagraphFont"/>
    <w:uiPriority w:val="99"/>
    <w:unhideWhenUsed/>
    <w:rsid w:val="007D6DAF"/>
    <w:rPr>
      <w:color w:val="0000FF" w:themeColor="hyperlink"/>
      <w:u w:val="single"/>
    </w:rPr>
  </w:style>
  <w:style w:type="paragraph" w:styleId="Header">
    <w:name w:val="header"/>
    <w:basedOn w:val="Normal"/>
    <w:link w:val="HeaderChar"/>
    <w:uiPriority w:val="99"/>
    <w:unhideWhenUsed/>
    <w:rsid w:val="00CA758B"/>
    <w:pPr>
      <w:tabs>
        <w:tab w:val="center" w:pos="4680"/>
        <w:tab w:val="right" w:pos="9360"/>
      </w:tabs>
      <w:spacing w:line="240" w:lineRule="auto"/>
    </w:pPr>
  </w:style>
  <w:style w:type="character" w:customStyle="1" w:styleId="HeaderChar">
    <w:name w:val="Header Char"/>
    <w:basedOn w:val="DefaultParagraphFont"/>
    <w:link w:val="Header"/>
    <w:uiPriority w:val="99"/>
    <w:rsid w:val="00CA758B"/>
  </w:style>
  <w:style w:type="paragraph" w:styleId="Footer">
    <w:name w:val="footer"/>
    <w:basedOn w:val="Normal"/>
    <w:link w:val="FooterChar"/>
    <w:uiPriority w:val="99"/>
    <w:unhideWhenUsed/>
    <w:rsid w:val="00CA758B"/>
    <w:pPr>
      <w:tabs>
        <w:tab w:val="center" w:pos="4680"/>
        <w:tab w:val="right" w:pos="9360"/>
      </w:tabs>
      <w:spacing w:line="240" w:lineRule="auto"/>
    </w:pPr>
  </w:style>
  <w:style w:type="character" w:customStyle="1" w:styleId="FooterChar">
    <w:name w:val="Footer Char"/>
    <w:basedOn w:val="DefaultParagraphFont"/>
    <w:link w:val="Footer"/>
    <w:uiPriority w:val="99"/>
    <w:rsid w:val="00CA75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67287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rsid w:val="0067287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rsid w:val="0067287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rsid w:val="0067287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67287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67287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72870"/>
  </w:style>
  <w:style w:type="paragraph" w:styleId="Title">
    <w:name w:val="Title"/>
    <w:basedOn w:val="Normal1"/>
    <w:next w:val="Normal1"/>
    <w:rsid w:val="00672870"/>
    <w:pPr>
      <w:keepNext/>
      <w:keepLines/>
      <w:contextualSpacing/>
    </w:pPr>
    <w:rPr>
      <w:rFonts w:ascii="Trebuchet MS" w:eastAsia="Trebuchet MS" w:hAnsi="Trebuchet MS" w:cs="Trebuchet MS"/>
      <w:sz w:val="42"/>
      <w:szCs w:val="42"/>
    </w:rPr>
  </w:style>
  <w:style w:type="paragraph" w:styleId="Subtitle">
    <w:name w:val="Subtitle"/>
    <w:basedOn w:val="Normal1"/>
    <w:next w:val="Normal1"/>
    <w:rsid w:val="00672870"/>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22380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23803"/>
    <w:rPr>
      <w:rFonts w:ascii="Lucida Grande" w:hAnsi="Lucida Grande"/>
      <w:sz w:val="18"/>
      <w:szCs w:val="18"/>
    </w:rPr>
  </w:style>
  <w:style w:type="character" w:styleId="CommentReference">
    <w:name w:val="annotation reference"/>
    <w:basedOn w:val="DefaultParagraphFont"/>
    <w:uiPriority w:val="99"/>
    <w:semiHidden/>
    <w:unhideWhenUsed/>
    <w:rsid w:val="00223803"/>
    <w:rPr>
      <w:sz w:val="18"/>
      <w:szCs w:val="18"/>
    </w:rPr>
  </w:style>
  <w:style w:type="paragraph" w:styleId="CommentText">
    <w:name w:val="annotation text"/>
    <w:basedOn w:val="Normal"/>
    <w:link w:val="CommentTextChar"/>
    <w:uiPriority w:val="99"/>
    <w:semiHidden/>
    <w:unhideWhenUsed/>
    <w:rsid w:val="00223803"/>
    <w:pPr>
      <w:spacing w:line="240" w:lineRule="auto"/>
    </w:pPr>
    <w:rPr>
      <w:sz w:val="24"/>
      <w:szCs w:val="24"/>
    </w:rPr>
  </w:style>
  <w:style w:type="character" w:customStyle="1" w:styleId="CommentTextChar">
    <w:name w:val="Comment Text Char"/>
    <w:basedOn w:val="DefaultParagraphFont"/>
    <w:link w:val="CommentText"/>
    <w:uiPriority w:val="99"/>
    <w:semiHidden/>
    <w:rsid w:val="00223803"/>
    <w:rPr>
      <w:sz w:val="24"/>
      <w:szCs w:val="24"/>
    </w:rPr>
  </w:style>
  <w:style w:type="paragraph" w:styleId="CommentSubject">
    <w:name w:val="annotation subject"/>
    <w:basedOn w:val="CommentText"/>
    <w:next w:val="CommentText"/>
    <w:link w:val="CommentSubjectChar"/>
    <w:uiPriority w:val="99"/>
    <w:semiHidden/>
    <w:unhideWhenUsed/>
    <w:rsid w:val="00223803"/>
    <w:rPr>
      <w:b/>
      <w:bCs/>
      <w:sz w:val="20"/>
      <w:szCs w:val="20"/>
    </w:rPr>
  </w:style>
  <w:style w:type="character" w:customStyle="1" w:styleId="CommentSubjectChar">
    <w:name w:val="Comment Subject Char"/>
    <w:basedOn w:val="CommentTextChar"/>
    <w:link w:val="CommentSubject"/>
    <w:uiPriority w:val="99"/>
    <w:semiHidden/>
    <w:rsid w:val="00223803"/>
    <w:rPr>
      <w:b/>
      <w:bCs/>
      <w:sz w:val="20"/>
      <w:szCs w:val="20"/>
    </w:rPr>
  </w:style>
  <w:style w:type="paragraph" w:styleId="FootnoteText">
    <w:name w:val="footnote text"/>
    <w:basedOn w:val="Normal"/>
    <w:link w:val="FootnoteTextChar"/>
    <w:uiPriority w:val="99"/>
    <w:semiHidden/>
    <w:unhideWhenUsed/>
    <w:rsid w:val="00147A25"/>
    <w:pPr>
      <w:spacing w:line="240" w:lineRule="auto"/>
    </w:pPr>
    <w:rPr>
      <w:sz w:val="20"/>
      <w:szCs w:val="20"/>
    </w:rPr>
  </w:style>
  <w:style w:type="character" w:customStyle="1" w:styleId="FootnoteTextChar">
    <w:name w:val="Footnote Text Char"/>
    <w:basedOn w:val="DefaultParagraphFont"/>
    <w:link w:val="FootnoteText"/>
    <w:uiPriority w:val="99"/>
    <w:semiHidden/>
    <w:rsid w:val="00147A25"/>
    <w:rPr>
      <w:sz w:val="20"/>
      <w:szCs w:val="20"/>
    </w:rPr>
  </w:style>
  <w:style w:type="character" w:styleId="FootnoteReference">
    <w:name w:val="footnote reference"/>
    <w:basedOn w:val="DefaultParagraphFont"/>
    <w:uiPriority w:val="99"/>
    <w:semiHidden/>
    <w:unhideWhenUsed/>
    <w:rsid w:val="00147A25"/>
    <w:rPr>
      <w:vertAlign w:val="superscript"/>
    </w:rPr>
  </w:style>
  <w:style w:type="character" w:styleId="Hyperlink">
    <w:name w:val="Hyperlink"/>
    <w:basedOn w:val="DefaultParagraphFont"/>
    <w:uiPriority w:val="99"/>
    <w:unhideWhenUsed/>
    <w:rsid w:val="007D6DAF"/>
    <w:rPr>
      <w:color w:val="0000FF" w:themeColor="hyperlink"/>
      <w:u w:val="single"/>
    </w:rPr>
  </w:style>
  <w:style w:type="paragraph" w:styleId="Header">
    <w:name w:val="header"/>
    <w:basedOn w:val="Normal"/>
    <w:link w:val="HeaderChar"/>
    <w:uiPriority w:val="99"/>
    <w:unhideWhenUsed/>
    <w:rsid w:val="00CA758B"/>
    <w:pPr>
      <w:tabs>
        <w:tab w:val="center" w:pos="4680"/>
        <w:tab w:val="right" w:pos="9360"/>
      </w:tabs>
      <w:spacing w:line="240" w:lineRule="auto"/>
    </w:pPr>
  </w:style>
  <w:style w:type="character" w:customStyle="1" w:styleId="HeaderChar">
    <w:name w:val="Header Char"/>
    <w:basedOn w:val="DefaultParagraphFont"/>
    <w:link w:val="Header"/>
    <w:uiPriority w:val="99"/>
    <w:rsid w:val="00CA758B"/>
  </w:style>
  <w:style w:type="paragraph" w:styleId="Footer">
    <w:name w:val="footer"/>
    <w:basedOn w:val="Normal"/>
    <w:link w:val="FooterChar"/>
    <w:uiPriority w:val="99"/>
    <w:unhideWhenUsed/>
    <w:rsid w:val="00CA758B"/>
    <w:pPr>
      <w:tabs>
        <w:tab w:val="center" w:pos="4680"/>
        <w:tab w:val="right" w:pos="9360"/>
      </w:tabs>
      <w:spacing w:line="240" w:lineRule="auto"/>
    </w:pPr>
  </w:style>
  <w:style w:type="character" w:customStyle="1" w:styleId="FooterChar">
    <w:name w:val="Footer Char"/>
    <w:basedOn w:val="DefaultParagraphFont"/>
    <w:link w:val="Footer"/>
    <w:uiPriority w:val="99"/>
    <w:rsid w:val="00CA7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6F159B8-BAC1-444B-B559-27299FF3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1864</Words>
  <Characters>10631</Characters>
  <Application>Microsoft Macintosh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Colleen Reynolds</cp:lastModifiedBy>
  <cp:revision>2</cp:revision>
  <cp:lastPrinted>2016-03-15T13:25:00Z</cp:lastPrinted>
  <dcterms:created xsi:type="dcterms:W3CDTF">2016-03-15T15:08:00Z</dcterms:created>
  <dcterms:modified xsi:type="dcterms:W3CDTF">2016-03-15T15:08:00Z</dcterms:modified>
</cp:coreProperties>
</file>