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3C8" w:rsidRPr="00DC5073" w:rsidRDefault="00F354BD" w:rsidP="002A23C8">
      <w:pPr>
        <w:spacing w:after="0"/>
        <w:ind w:left="720"/>
        <w:jc w:val="right"/>
        <w:rPr>
          <w:rFonts w:cs="Arial"/>
          <w:i/>
          <w:sz w:val="52"/>
          <w:szCs w:val="24"/>
          <w:lang w:val="fr-CA"/>
        </w:rPr>
      </w:pPr>
      <w:r>
        <w:rPr>
          <w:rFonts w:cs="Arial"/>
          <w:i/>
          <w:noProof/>
          <w:sz w:val="52"/>
          <w:szCs w:val="24"/>
        </w:rPr>
        <w:drawing>
          <wp:anchor distT="0" distB="0" distL="114300" distR="114300" simplePos="0" relativeHeight="251657728" behindDoc="1" locked="1" layoutInCell="1" allowOverlap="1">
            <wp:simplePos x="0" y="0"/>
            <wp:positionH relativeFrom="column">
              <wp:posOffset>3943350</wp:posOffset>
            </wp:positionH>
            <wp:positionV relativeFrom="paragraph">
              <wp:posOffset>-152400</wp:posOffset>
            </wp:positionV>
            <wp:extent cx="2362200" cy="981075"/>
            <wp:effectExtent l="19050" t="0" r="0" b="0"/>
            <wp:wrapTight wrapText="bothSides">
              <wp:wrapPolygon edited="0">
                <wp:start x="-174" y="0"/>
                <wp:lineTo x="-174" y="21390"/>
                <wp:lineTo x="21600" y="21390"/>
                <wp:lineTo x="21600" y="0"/>
                <wp:lineTo x="-174"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8716" t="38538" r="20267" b="37900"/>
                    <a:stretch>
                      <a:fillRect/>
                    </a:stretch>
                  </pic:blipFill>
                  <pic:spPr bwMode="auto">
                    <a:xfrm>
                      <a:off x="0" y="0"/>
                      <a:ext cx="2362200" cy="981075"/>
                    </a:xfrm>
                    <a:prstGeom prst="rect">
                      <a:avLst/>
                    </a:prstGeom>
                    <a:noFill/>
                  </pic:spPr>
                </pic:pic>
              </a:graphicData>
            </a:graphic>
          </wp:anchor>
        </w:drawing>
      </w:r>
    </w:p>
    <w:p w:rsidR="00F95166" w:rsidRPr="00DC5073" w:rsidRDefault="00F95166" w:rsidP="000A578E">
      <w:pPr>
        <w:spacing w:after="0"/>
        <w:jc w:val="right"/>
        <w:rPr>
          <w:rFonts w:cs="Arial"/>
          <w:i/>
          <w:sz w:val="52"/>
          <w:szCs w:val="24"/>
          <w:lang w:val="fr-CA"/>
        </w:rPr>
      </w:pPr>
    </w:p>
    <w:p w:rsidR="00F95166" w:rsidRPr="002A23C8" w:rsidRDefault="002A23C8" w:rsidP="002A23C8">
      <w:pPr>
        <w:spacing w:after="0"/>
        <w:jc w:val="right"/>
        <w:rPr>
          <w:rFonts w:cs="Arial"/>
          <w:b/>
          <w:sz w:val="72"/>
          <w:szCs w:val="72"/>
          <w:lang w:val="fr-CA"/>
        </w:rPr>
      </w:pPr>
      <w:r w:rsidRPr="002A23C8">
        <w:rPr>
          <w:rFonts w:cs="Arial"/>
          <w:b/>
          <w:sz w:val="72"/>
          <w:szCs w:val="72"/>
          <w:lang w:val="fr-CA"/>
        </w:rPr>
        <w:t>RAPPORT</w:t>
      </w:r>
    </w:p>
    <w:p w:rsidR="00F95166" w:rsidRPr="00DC5073" w:rsidRDefault="00F95166" w:rsidP="000A578E">
      <w:pPr>
        <w:spacing w:after="0"/>
        <w:jc w:val="center"/>
        <w:rPr>
          <w:rFonts w:cs="Arial"/>
          <w:b/>
          <w:sz w:val="44"/>
          <w:szCs w:val="24"/>
          <w:lang w:val="fr-CA"/>
        </w:rPr>
      </w:pPr>
    </w:p>
    <w:p w:rsidR="00F95166" w:rsidRPr="00DC5073" w:rsidRDefault="00F95166" w:rsidP="000A578E">
      <w:pPr>
        <w:spacing w:after="0" w:line="240" w:lineRule="auto"/>
        <w:jc w:val="center"/>
        <w:rPr>
          <w:rFonts w:cs="Arial"/>
          <w:b/>
          <w:sz w:val="44"/>
          <w:szCs w:val="24"/>
          <w:lang w:val="fr-CA"/>
        </w:rPr>
      </w:pPr>
    </w:p>
    <w:p w:rsidR="00F95166" w:rsidRPr="00DC5073" w:rsidRDefault="00F95166" w:rsidP="000A578E">
      <w:pPr>
        <w:spacing w:after="0" w:line="240" w:lineRule="auto"/>
        <w:jc w:val="center"/>
        <w:rPr>
          <w:rFonts w:cs="Arial"/>
          <w:b/>
          <w:sz w:val="44"/>
          <w:szCs w:val="24"/>
          <w:lang w:val="fr-CA"/>
        </w:rPr>
      </w:pPr>
    </w:p>
    <w:p w:rsidR="00F95166" w:rsidRPr="00DC5073" w:rsidRDefault="00F95166" w:rsidP="000A578E">
      <w:pPr>
        <w:spacing w:after="0" w:line="240" w:lineRule="auto"/>
        <w:jc w:val="center"/>
        <w:rPr>
          <w:rFonts w:cs="Arial"/>
          <w:b/>
          <w:sz w:val="44"/>
          <w:szCs w:val="24"/>
          <w:lang w:val="fr-CA"/>
        </w:rPr>
      </w:pPr>
    </w:p>
    <w:p w:rsidR="00F95166" w:rsidRPr="00DC5073" w:rsidRDefault="00F95166" w:rsidP="000A578E">
      <w:pPr>
        <w:spacing w:after="0" w:line="240" w:lineRule="auto"/>
        <w:jc w:val="center"/>
        <w:rPr>
          <w:rFonts w:cs="Arial"/>
          <w:b/>
          <w:sz w:val="44"/>
          <w:szCs w:val="24"/>
          <w:lang w:val="fr-CA"/>
        </w:rPr>
      </w:pPr>
    </w:p>
    <w:p w:rsidR="0030582D" w:rsidRDefault="00F95166" w:rsidP="00C410E7">
      <w:pPr>
        <w:jc w:val="center"/>
        <w:rPr>
          <w:rFonts w:cs="Arial"/>
          <w:b/>
          <w:sz w:val="52"/>
          <w:szCs w:val="52"/>
          <w:lang w:val="fr-CA"/>
        </w:rPr>
      </w:pPr>
      <w:r w:rsidRPr="00DC5073">
        <w:rPr>
          <w:rFonts w:cs="Arial"/>
          <w:b/>
          <w:sz w:val="52"/>
          <w:szCs w:val="52"/>
          <w:lang w:val="fr-CA"/>
        </w:rPr>
        <w:t>Les hôpitaux en PPP</w:t>
      </w:r>
      <w:r w:rsidR="0030582D">
        <w:rPr>
          <w:rFonts w:cs="Arial"/>
          <w:b/>
          <w:sz w:val="52"/>
          <w:szCs w:val="52"/>
          <w:lang w:val="fr-CA"/>
        </w:rPr>
        <w:t> :</w:t>
      </w:r>
    </w:p>
    <w:p w:rsidR="00F95166" w:rsidRPr="00DC5073" w:rsidRDefault="0030582D" w:rsidP="00C410E7">
      <w:pPr>
        <w:jc w:val="center"/>
        <w:rPr>
          <w:rFonts w:cs="Arial"/>
          <w:b/>
          <w:sz w:val="52"/>
          <w:szCs w:val="52"/>
          <w:lang w:val="fr-CA"/>
        </w:rPr>
      </w:pPr>
      <w:r>
        <w:rPr>
          <w:rFonts w:cs="Arial"/>
          <w:b/>
          <w:sz w:val="52"/>
          <w:szCs w:val="52"/>
          <w:lang w:val="fr-CA"/>
        </w:rPr>
        <w:t>Une mauvaise</w:t>
      </w:r>
      <w:r w:rsidR="00F95166" w:rsidRPr="00DC5073">
        <w:rPr>
          <w:rFonts w:cs="Arial"/>
          <w:b/>
          <w:sz w:val="52"/>
          <w:szCs w:val="52"/>
          <w:lang w:val="fr-CA"/>
        </w:rPr>
        <w:t xml:space="preserve"> solution</w:t>
      </w:r>
      <w:r w:rsidR="00F95166" w:rsidRPr="00DC5073">
        <w:rPr>
          <w:rFonts w:cs="Arial"/>
          <w:b/>
          <w:sz w:val="52"/>
          <w:szCs w:val="52"/>
          <w:lang w:val="fr-CA"/>
        </w:rPr>
        <w:br/>
      </w:r>
    </w:p>
    <w:p w:rsidR="00F95166" w:rsidRPr="00131527" w:rsidRDefault="00131527" w:rsidP="000A578E">
      <w:pPr>
        <w:spacing w:after="0" w:line="240" w:lineRule="auto"/>
        <w:jc w:val="center"/>
        <w:rPr>
          <w:rFonts w:cs="Arial"/>
          <w:b/>
          <w:sz w:val="52"/>
          <w:szCs w:val="52"/>
          <w:lang w:val="fr-CA"/>
        </w:rPr>
      </w:pPr>
      <w:r w:rsidRPr="00131527">
        <w:rPr>
          <w:rFonts w:cs="Arial"/>
          <w:b/>
          <w:sz w:val="52"/>
          <w:szCs w:val="52"/>
          <w:lang w:val="fr-CA"/>
        </w:rPr>
        <w:t>Résumé</w:t>
      </w:r>
    </w:p>
    <w:p w:rsidR="00F95166" w:rsidRPr="00DC5073" w:rsidRDefault="00F95166" w:rsidP="000A578E">
      <w:pPr>
        <w:spacing w:after="0" w:line="240" w:lineRule="auto"/>
        <w:jc w:val="center"/>
        <w:rPr>
          <w:rFonts w:cs="Arial"/>
          <w:b/>
          <w:sz w:val="44"/>
          <w:szCs w:val="24"/>
          <w:lang w:val="fr-CA"/>
        </w:rPr>
      </w:pPr>
    </w:p>
    <w:p w:rsidR="00F95166" w:rsidRPr="00DC5073" w:rsidRDefault="00F95166" w:rsidP="000A578E">
      <w:pPr>
        <w:spacing w:line="240" w:lineRule="auto"/>
        <w:jc w:val="center"/>
        <w:rPr>
          <w:rFonts w:cs="Arial"/>
          <w:b/>
          <w:sz w:val="44"/>
          <w:szCs w:val="24"/>
          <w:lang w:val="fr-CA"/>
        </w:rPr>
      </w:pPr>
    </w:p>
    <w:p w:rsidR="00F95166" w:rsidRPr="00DC5073" w:rsidRDefault="00F95166" w:rsidP="000A578E">
      <w:pPr>
        <w:spacing w:line="240" w:lineRule="auto"/>
        <w:jc w:val="center"/>
        <w:rPr>
          <w:rFonts w:cs="Arial"/>
          <w:b/>
          <w:sz w:val="44"/>
          <w:szCs w:val="24"/>
          <w:lang w:val="fr-CA"/>
        </w:rPr>
      </w:pPr>
    </w:p>
    <w:p w:rsidR="00F95166" w:rsidRDefault="00F95166" w:rsidP="000A578E">
      <w:pPr>
        <w:spacing w:line="240" w:lineRule="auto"/>
        <w:jc w:val="center"/>
        <w:rPr>
          <w:rFonts w:cs="Arial"/>
          <w:b/>
          <w:sz w:val="44"/>
          <w:szCs w:val="24"/>
          <w:lang w:val="fr-CA"/>
        </w:rPr>
      </w:pPr>
    </w:p>
    <w:p w:rsidR="002A23C8" w:rsidRDefault="002A23C8" w:rsidP="000A578E">
      <w:pPr>
        <w:spacing w:line="240" w:lineRule="auto"/>
        <w:jc w:val="center"/>
        <w:rPr>
          <w:rFonts w:cs="Arial"/>
          <w:b/>
          <w:sz w:val="44"/>
          <w:szCs w:val="24"/>
          <w:lang w:val="fr-CA"/>
        </w:rPr>
      </w:pPr>
    </w:p>
    <w:p w:rsidR="00C00B92" w:rsidRDefault="00F354BD" w:rsidP="002A23C8">
      <w:pPr>
        <w:jc w:val="center"/>
        <w:rPr>
          <w:rFonts w:cs="Arial"/>
          <w:b/>
          <w:sz w:val="36"/>
          <w:szCs w:val="36"/>
          <w:lang w:val="fr-CA"/>
        </w:rPr>
        <w:sectPr w:rsidR="00C00B92" w:rsidSect="00131527">
          <w:headerReference w:type="default" r:id="rId9"/>
          <w:footerReference w:type="default" r:id="rId10"/>
          <w:footnotePr>
            <w:numFmt w:val="lowerRoman"/>
          </w:footnotePr>
          <w:pgSz w:w="12240" w:h="15840" w:code="1"/>
          <w:pgMar w:top="1440" w:right="1440" w:bottom="720" w:left="1440" w:header="720" w:footer="576" w:gutter="0"/>
          <w:pgBorders w:display="firstPage" w:offsetFrom="page">
            <w:top w:val="thinThickThinLargeGap" w:sz="8" w:space="24" w:color="auto"/>
            <w:left w:val="thinThickThinLargeGap" w:sz="8" w:space="24" w:color="auto"/>
            <w:bottom w:val="thinThickThinLargeGap" w:sz="8" w:space="24" w:color="auto"/>
            <w:right w:val="thinThickThinLargeGap" w:sz="8" w:space="24" w:color="auto"/>
          </w:pgBorders>
          <w:cols w:space="720"/>
          <w:titlePg/>
          <w:docGrid w:linePitch="360"/>
        </w:sectPr>
      </w:pPr>
      <w:r>
        <w:rPr>
          <w:noProof/>
        </w:rPr>
        <w:drawing>
          <wp:inline distT="0" distB="0" distL="0" distR="0">
            <wp:extent cx="2255520" cy="335280"/>
            <wp:effectExtent l="19050" t="0" r="0" b="0"/>
            <wp:docPr id="1" name="Picture 1" descr="SCFP_text_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FP_text_bw.tif"/>
                    <pic:cNvPicPr>
                      <a:picLocks noChangeAspect="1" noChangeArrowheads="1"/>
                    </pic:cNvPicPr>
                  </pic:nvPicPr>
                  <pic:blipFill>
                    <a:blip r:embed="rId11"/>
                    <a:srcRect/>
                    <a:stretch>
                      <a:fillRect/>
                    </a:stretch>
                  </pic:blipFill>
                  <pic:spPr bwMode="auto">
                    <a:xfrm>
                      <a:off x="0" y="0"/>
                      <a:ext cx="2255520" cy="335280"/>
                    </a:xfrm>
                    <a:prstGeom prst="rect">
                      <a:avLst/>
                    </a:prstGeom>
                    <a:noFill/>
                    <a:ln w="9525">
                      <a:noFill/>
                      <a:miter lim="800000"/>
                      <a:headEnd/>
                      <a:tailEnd/>
                    </a:ln>
                  </pic:spPr>
                </pic:pic>
              </a:graphicData>
            </a:graphic>
          </wp:inline>
        </w:drawing>
      </w:r>
    </w:p>
    <w:p w:rsidR="00F95166" w:rsidRPr="00DC5073" w:rsidRDefault="00F95166" w:rsidP="002A23C8">
      <w:pPr>
        <w:jc w:val="center"/>
        <w:rPr>
          <w:rFonts w:cs="Arial"/>
          <w:b/>
          <w:sz w:val="36"/>
          <w:szCs w:val="36"/>
          <w:lang w:val="fr-CA"/>
        </w:rPr>
      </w:pPr>
    </w:p>
    <w:p w:rsidR="006651D2" w:rsidRDefault="006651D2" w:rsidP="00131527">
      <w:pPr>
        <w:spacing w:after="0" w:line="240" w:lineRule="auto"/>
        <w:rPr>
          <w:rFonts w:eastAsia="Batang"/>
          <w:b/>
          <w:sz w:val="32"/>
          <w:szCs w:val="32"/>
          <w:lang w:val="fr-CA"/>
        </w:rPr>
      </w:pPr>
      <w:r>
        <w:rPr>
          <w:rFonts w:eastAsia="Batang"/>
          <w:b/>
          <w:sz w:val="32"/>
          <w:szCs w:val="32"/>
          <w:lang w:val="fr-CA"/>
        </w:rPr>
        <w:t>Service de la recherche du SCFP :</w:t>
      </w:r>
    </w:p>
    <w:p w:rsidR="006651D2" w:rsidRDefault="006651D2" w:rsidP="00131527">
      <w:pPr>
        <w:spacing w:after="0" w:line="240" w:lineRule="auto"/>
        <w:rPr>
          <w:rFonts w:eastAsia="Batang"/>
          <w:b/>
          <w:sz w:val="32"/>
          <w:szCs w:val="32"/>
          <w:lang w:val="fr-CA"/>
        </w:rPr>
      </w:pPr>
      <w:r>
        <w:rPr>
          <w:rFonts w:eastAsia="Batang"/>
          <w:b/>
          <w:sz w:val="32"/>
          <w:szCs w:val="32"/>
          <w:lang w:val="fr-CA"/>
        </w:rPr>
        <w:t>Les hôpitaux en PPP : Une mauvaise solution</w:t>
      </w:r>
    </w:p>
    <w:p w:rsidR="006651D2" w:rsidRPr="006651D2" w:rsidRDefault="006651D2" w:rsidP="006651D2">
      <w:pPr>
        <w:spacing w:before="120" w:after="0" w:line="240" w:lineRule="auto"/>
        <w:rPr>
          <w:rFonts w:eastAsia="Batang"/>
          <w:sz w:val="24"/>
          <w:szCs w:val="24"/>
          <w:lang w:val="fr-CA"/>
        </w:rPr>
      </w:pPr>
      <w:r w:rsidRPr="006651D2">
        <w:rPr>
          <w:rFonts w:eastAsia="Batang"/>
          <w:sz w:val="24"/>
          <w:szCs w:val="24"/>
          <w:lang w:val="fr-CA"/>
        </w:rPr>
        <w:t>Avril 2011</w:t>
      </w:r>
    </w:p>
    <w:p w:rsidR="006651D2" w:rsidRDefault="006651D2" w:rsidP="00131527">
      <w:pPr>
        <w:spacing w:after="0" w:line="240" w:lineRule="auto"/>
        <w:rPr>
          <w:rFonts w:eastAsia="Batang"/>
          <w:b/>
          <w:sz w:val="32"/>
          <w:szCs w:val="32"/>
          <w:lang w:val="fr-CA"/>
        </w:rPr>
      </w:pPr>
    </w:p>
    <w:p w:rsidR="00F95166" w:rsidRPr="00554777" w:rsidRDefault="006651D2" w:rsidP="00131527">
      <w:pPr>
        <w:spacing w:after="0" w:line="240" w:lineRule="auto"/>
        <w:rPr>
          <w:rFonts w:eastAsia="Batang"/>
          <w:b/>
          <w:sz w:val="32"/>
          <w:szCs w:val="32"/>
          <w:lang w:val="fr-CA"/>
        </w:rPr>
      </w:pPr>
      <w:r>
        <w:rPr>
          <w:rFonts w:eastAsia="Batang"/>
          <w:b/>
          <w:sz w:val="32"/>
          <w:szCs w:val="32"/>
          <w:lang w:val="fr-CA"/>
        </w:rPr>
        <w:t>R</w:t>
      </w:r>
      <w:r w:rsidR="00327171">
        <w:rPr>
          <w:rFonts w:eastAsia="Batang"/>
          <w:b/>
          <w:sz w:val="32"/>
          <w:szCs w:val="32"/>
          <w:lang w:val="fr-CA"/>
        </w:rPr>
        <w:t>ésumé</w:t>
      </w:r>
    </w:p>
    <w:p w:rsidR="00F95166" w:rsidRPr="00DC5073" w:rsidRDefault="00F95166" w:rsidP="006651D2">
      <w:pPr>
        <w:spacing w:before="240"/>
        <w:jc w:val="both"/>
        <w:rPr>
          <w:rFonts w:eastAsia="Batang" w:cs="Arial"/>
          <w:color w:val="000000"/>
          <w:sz w:val="24"/>
          <w:szCs w:val="24"/>
          <w:lang w:val="fr-CA"/>
        </w:rPr>
      </w:pPr>
      <w:r w:rsidRPr="00DC5073">
        <w:rPr>
          <w:rFonts w:eastAsia="Batang" w:cs="Arial"/>
          <w:color w:val="000000"/>
          <w:sz w:val="24"/>
          <w:szCs w:val="24"/>
          <w:lang w:val="fr-CA"/>
        </w:rPr>
        <w:t>Les Canadiens veulent un sy</w:t>
      </w:r>
      <w:r>
        <w:rPr>
          <w:rFonts w:eastAsia="Batang" w:cs="Arial"/>
          <w:color w:val="000000"/>
          <w:sz w:val="24"/>
          <w:szCs w:val="24"/>
          <w:lang w:val="fr-CA"/>
        </w:rPr>
        <w:t>stème public de soins de santé, car ils jugent que les soins que reçoi</w:t>
      </w:r>
      <w:r w:rsidRPr="00DC5073">
        <w:rPr>
          <w:rFonts w:eastAsia="Batang" w:cs="Arial"/>
          <w:color w:val="000000"/>
          <w:sz w:val="24"/>
          <w:szCs w:val="24"/>
          <w:lang w:val="fr-CA"/>
        </w:rPr>
        <w:t xml:space="preserve">t une personne ne doivent pas dépendre de ses moyens financiers. Ce sont plutôt les </w:t>
      </w:r>
      <w:r w:rsidRPr="00DC5073">
        <w:rPr>
          <w:rFonts w:eastAsia="Batang" w:cs="Arial"/>
          <w:i/>
          <w:color w:val="000000"/>
          <w:sz w:val="24"/>
          <w:szCs w:val="24"/>
          <w:lang w:val="fr-CA"/>
        </w:rPr>
        <w:t>besoins</w:t>
      </w:r>
      <w:r w:rsidRPr="00DC5073">
        <w:rPr>
          <w:rFonts w:eastAsia="Batang" w:cs="Arial"/>
          <w:color w:val="000000"/>
          <w:sz w:val="24"/>
          <w:szCs w:val="24"/>
          <w:lang w:val="fr-CA"/>
        </w:rPr>
        <w:t xml:space="preserve"> de la personne en matière de soins de santé, dont en soins hospitaliers, qui doivent </w:t>
      </w:r>
      <w:r>
        <w:rPr>
          <w:rFonts w:eastAsia="Batang" w:cs="Arial"/>
          <w:color w:val="000000"/>
          <w:sz w:val="24"/>
          <w:szCs w:val="24"/>
          <w:lang w:val="fr-CA"/>
        </w:rPr>
        <w:t>avoir préséance dans la détermination du traitement qui lui sera prescrit</w:t>
      </w:r>
      <w:r w:rsidRPr="00DC5073">
        <w:rPr>
          <w:rFonts w:eastAsia="Batang" w:cs="Arial"/>
          <w:color w:val="000000"/>
          <w:sz w:val="24"/>
          <w:szCs w:val="24"/>
          <w:lang w:val="fr-CA"/>
        </w:rPr>
        <w:t>. Un récent sondage mené à l</w:t>
      </w:r>
      <w:r>
        <w:rPr>
          <w:rFonts w:eastAsia="Batang" w:cs="Arial"/>
          <w:color w:val="000000"/>
          <w:sz w:val="24"/>
          <w:szCs w:val="24"/>
          <w:lang w:val="fr-CA"/>
        </w:rPr>
        <w:t>’</w:t>
      </w:r>
      <w:r w:rsidRPr="00DC5073">
        <w:rPr>
          <w:rFonts w:eastAsia="Batang" w:cs="Arial"/>
          <w:color w:val="000000"/>
          <w:sz w:val="24"/>
          <w:szCs w:val="24"/>
          <w:lang w:val="fr-CA"/>
        </w:rPr>
        <w:t xml:space="preserve">échelle nationale indique </w:t>
      </w:r>
      <w:r>
        <w:rPr>
          <w:rFonts w:eastAsia="Batang" w:cs="Arial"/>
          <w:color w:val="000000"/>
          <w:sz w:val="24"/>
          <w:szCs w:val="24"/>
          <w:lang w:val="fr-CA"/>
        </w:rPr>
        <w:t>que 89,9 </w:t>
      </w:r>
      <w:r w:rsidR="00327171">
        <w:rPr>
          <w:rFonts w:eastAsia="Batang" w:cs="Arial"/>
          <w:color w:val="000000"/>
          <w:sz w:val="24"/>
          <w:szCs w:val="24"/>
          <w:lang w:val="fr-CA"/>
        </w:rPr>
        <w:t>pour </w:t>
      </w:r>
      <w:r>
        <w:rPr>
          <w:rFonts w:eastAsia="Batang" w:cs="Arial"/>
          <w:color w:val="000000"/>
          <w:sz w:val="24"/>
          <w:szCs w:val="24"/>
          <w:lang w:val="fr-CA"/>
        </w:rPr>
        <w:t>cent des Canadiens s</w:t>
      </w:r>
      <w:r w:rsidRPr="00DC5073">
        <w:rPr>
          <w:rFonts w:eastAsia="Batang" w:cs="Arial"/>
          <w:color w:val="000000"/>
          <w:sz w:val="24"/>
          <w:szCs w:val="24"/>
          <w:lang w:val="fr-CA"/>
        </w:rPr>
        <w:t xml:space="preserve">ont favorables ou </w:t>
      </w:r>
      <w:r>
        <w:rPr>
          <w:rFonts w:eastAsia="Batang" w:cs="Arial"/>
          <w:color w:val="000000"/>
          <w:sz w:val="24"/>
          <w:szCs w:val="24"/>
          <w:lang w:val="fr-CA"/>
        </w:rPr>
        <w:t>assez</w:t>
      </w:r>
      <w:r w:rsidRPr="00DC5073">
        <w:rPr>
          <w:rFonts w:eastAsia="Batang" w:cs="Arial"/>
          <w:color w:val="000000"/>
          <w:sz w:val="24"/>
          <w:szCs w:val="24"/>
          <w:lang w:val="fr-CA"/>
        </w:rPr>
        <w:t xml:space="preserve"> favorables à l</w:t>
      </w:r>
      <w:r>
        <w:rPr>
          <w:rFonts w:eastAsia="Batang" w:cs="Arial"/>
          <w:color w:val="000000"/>
          <w:sz w:val="24"/>
          <w:szCs w:val="24"/>
          <w:lang w:val="fr-CA"/>
        </w:rPr>
        <w:t>’</w:t>
      </w:r>
      <w:r w:rsidRPr="00DC5073">
        <w:rPr>
          <w:rFonts w:eastAsia="Batang" w:cs="Arial"/>
          <w:color w:val="000000"/>
          <w:sz w:val="24"/>
          <w:szCs w:val="24"/>
          <w:lang w:val="fr-CA"/>
        </w:rPr>
        <w:t>universalité des soins de santé.</w:t>
      </w:r>
      <w:r w:rsidRPr="00DC5073">
        <w:rPr>
          <w:rStyle w:val="EndnoteReference"/>
          <w:rFonts w:eastAsia="Batang" w:cs="Arial"/>
          <w:sz w:val="20"/>
          <w:szCs w:val="20"/>
          <w:lang w:val="fr-CA"/>
        </w:rPr>
        <w:endnoteReference w:id="1"/>
      </w:r>
    </w:p>
    <w:p w:rsidR="00F95166" w:rsidRPr="00DC5073" w:rsidRDefault="00F95166" w:rsidP="000335F0">
      <w:pPr>
        <w:jc w:val="both"/>
        <w:rPr>
          <w:rFonts w:eastAsia="Batang" w:cs="Arial"/>
          <w:sz w:val="24"/>
          <w:szCs w:val="24"/>
          <w:lang w:val="fr-CA"/>
        </w:rPr>
      </w:pPr>
      <w:r w:rsidRPr="00DC5073">
        <w:rPr>
          <w:rFonts w:eastAsia="Batang" w:cs="Arial"/>
          <w:color w:val="000000"/>
          <w:sz w:val="24"/>
          <w:szCs w:val="24"/>
          <w:lang w:val="fr-CA"/>
        </w:rPr>
        <w:t>Les Canadiens doivent avoir accès à des hôpitaux publics de qualité. Dans certaines régions, de nouveaux hôpitaux publics doivent être construits alors que nombre d</w:t>
      </w:r>
      <w:r>
        <w:rPr>
          <w:rFonts w:eastAsia="Batang" w:cs="Arial"/>
          <w:color w:val="000000"/>
          <w:sz w:val="24"/>
          <w:szCs w:val="24"/>
          <w:lang w:val="fr-CA"/>
        </w:rPr>
        <w:t>’</w:t>
      </w:r>
      <w:r w:rsidRPr="00DC5073">
        <w:rPr>
          <w:rFonts w:eastAsia="Batang" w:cs="Arial"/>
          <w:color w:val="000000"/>
          <w:sz w:val="24"/>
          <w:szCs w:val="24"/>
          <w:lang w:val="fr-CA"/>
        </w:rPr>
        <w:t xml:space="preserve">hôpitaux publics </w:t>
      </w:r>
      <w:r>
        <w:rPr>
          <w:rFonts w:eastAsia="Batang" w:cs="Arial"/>
          <w:color w:val="000000"/>
          <w:sz w:val="24"/>
          <w:szCs w:val="24"/>
          <w:lang w:val="fr-CA"/>
        </w:rPr>
        <w:t xml:space="preserve">existants </w:t>
      </w:r>
      <w:r w:rsidRPr="00DC5073">
        <w:rPr>
          <w:rFonts w:eastAsia="Batang" w:cs="Arial"/>
          <w:color w:val="000000"/>
          <w:sz w:val="24"/>
          <w:szCs w:val="24"/>
          <w:lang w:val="fr-CA"/>
        </w:rPr>
        <w:t>nécessitent des rénovations majeures.</w:t>
      </w:r>
      <w:r w:rsidRPr="00DC5073">
        <w:rPr>
          <w:rStyle w:val="EndnoteReference"/>
          <w:rFonts w:eastAsia="Batang" w:cs="Arial"/>
          <w:color w:val="000000"/>
          <w:sz w:val="20"/>
          <w:szCs w:val="20"/>
          <w:lang w:val="fr-CA"/>
        </w:rPr>
        <w:endnoteReference w:id="2"/>
      </w:r>
      <w:r w:rsidRPr="00DC5073">
        <w:rPr>
          <w:rFonts w:eastAsia="Batang" w:cs="Arial"/>
          <w:color w:val="000000"/>
          <w:sz w:val="20"/>
          <w:szCs w:val="20"/>
          <w:lang w:val="fr-CA"/>
        </w:rPr>
        <w:t xml:space="preserve"> </w:t>
      </w:r>
      <w:r w:rsidRPr="00DC5073">
        <w:rPr>
          <w:rFonts w:eastAsia="Batang" w:cs="Arial"/>
          <w:color w:val="000000"/>
          <w:sz w:val="24"/>
          <w:szCs w:val="24"/>
          <w:lang w:val="fr-CA"/>
        </w:rPr>
        <w:t>La population canadienne est vieillissante et le taux de vieillissement augmente progressivement. En date du 1</w:t>
      </w:r>
      <w:r w:rsidRPr="00DC5073">
        <w:rPr>
          <w:rFonts w:eastAsia="Batang" w:cs="Arial"/>
          <w:color w:val="000000"/>
          <w:sz w:val="24"/>
          <w:szCs w:val="24"/>
          <w:vertAlign w:val="superscript"/>
          <w:lang w:val="fr-CA"/>
        </w:rPr>
        <w:t>er</w:t>
      </w:r>
      <w:r w:rsidRPr="00DC5073">
        <w:rPr>
          <w:rFonts w:eastAsia="Batang" w:cs="Arial"/>
          <w:color w:val="000000"/>
          <w:sz w:val="24"/>
          <w:szCs w:val="24"/>
          <w:lang w:val="fr-CA"/>
        </w:rPr>
        <w:t xml:space="preserve"> octobre 2010, la population comptait plus de 34,2 millions </w:t>
      </w:r>
      <w:r>
        <w:rPr>
          <w:rFonts w:eastAsia="Batang" w:cs="Arial"/>
          <w:color w:val="000000"/>
          <w:sz w:val="24"/>
          <w:szCs w:val="24"/>
          <w:lang w:val="fr-CA"/>
        </w:rPr>
        <w:t>d’</w:t>
      </w:r>
      <w:r w:rsidRPr="00DC5073">
        <w:rPr>
          <w:rFonts w:eastAsia="Batang" w:cs="Arial"/>
          <w:color w:val="000000"/>
          <w:sz w:val="24"/>
          <w:szCs w:val="24"/>
          <w:lang w:val="fr-CA"/>
        </w:rPr>
        <w:t>habitants, en hausse par rapport à un peu plus de 31 millions en décembre 2001.</w:t>
      </w:r>
      <w:r w:rsidRPr="00DC5073">
        <w:rPr>
          <w:rStyle w:val="EndnoteReference"/>
          <w:rFonts w:eastAsia="Batang" w:cs="Arial"/>
          <w:color w:val="000000"/>
          <w:sz w:val="20"/>
          <w:szCs w:val="20"/>
          <w:lang w:val="fr-CA"/>
        </w:rPr>
        <w:endnoteReference w:id="3"/>
      </w:r>
    </w:p>
    <w:p w:rsidR="00F95166" w:rsidRPr="00DC5073" w:rsidRDefault="00F95166" w:rsidP="000335F0">
      <w:pPr>
        <w:jc w:val="both"/>
        <w:rPr>
          <w:rFonts w:eastAsia="Batang" w:cs="Arial"/>
          <w:sz w:val="24"/>
          <w:szCs w:val="24"/>
          <w:lang w:val="fr-CA"/>
        </w:rPr>
      </w:pPr>
      <w:r w:rsidRPr="00DC5073">
        <w:rPr>
          <w:rFonts w:eastAsia="Batang" w:cs="Arial"/>
          <w:sz w:val="24"/>
          <w:szCs w:val="24"/>
          <w:lang w:val="fr-CA"/>
        </w:rPr>
        <w:t xml:space="preserve">Les hôpitaux qui sont exploités </w:t>
      </w:r>
      <w:r>
        <w:rPr>
          <w:rFonts w:eastAsia="Batang" w:cs="Arial"/>
          <w:sz w:val="24"/>
          <w:szCs w:val="24"/>
          <w:lang w:val="fr-CA"/>
        </w:rPr>
        <w:t>en</w:t>
      </w:r>
      <w:r w:rsidRPr="00DC5073">
        <w:rPr>
          <w:rFonts w:eastAsia="Batang" w:cs="Arial"/>
          <w:sz w:val="24"/>
          <w:szCs w:val="24"/>
          <w:lang w:val="fr-CA"/>
        </w:rPr>
        <w:t xml:space="preserve"> partenariat public-privé (PPP) offrent une forme de soins privatisés qui porte atteinte au système canadien de soins de santé universels.</w:t>
      </w:r>
      <w:r w:rsidRPr="00DC5073">
        <w:rPr>
          <w:rStyle w:val="EndnoteReference"/>
          <w:rFonts w:eastAsia="Batang" w:cs="Arial"/>
          <w:sz w:val="20"/>
          <w:szCs w:val="20"/>
          <w:lang w:val="fr-CA"/>
        </w:rPr>
        <w:endnoteReference w:id="4"/>
      </w:r>
      <w:r w:rsidRPr="00DC5073">
        <w:rPr>
          <w:rFonts w:eastAsia="Batang" w:cs="Arial"/>
          <w:sz w:val="24"/>
          <w:szCs w:val="24"/>
          <w:lang w:val="fr-CA"/>
        </w:rPr>
        <w:t xml:space="preserve"> C</w:t>
      </w:r>
      <w:r>
        <w:rPr>
          <w:rFonts w:eastAsia="Batang" w:cs="Arial"/>
          <w:sz w:val="24"/>
          <w:szCs w:val="24"/>
          <w:lang w:val="fr-CA"/>
        </w:rPr>
        <w:t>’</w:t>
      </w:r>
      <w:r w:rsidRPr="00DC5073">
        <w:rPr>
          <w:rFonts w:eastAsia="Batang" w:cs="Arial"/>
          <w:sz w:val="24"/>
          <w:szCs w:val="24"/>
          <w:lang w:val="fr-CA"/>
        </w:rPr>
        <w:t>est la course aux profits qui devient prioritaire dans la prestation de services, au détriment de</w:t>
      </w:r>
      <w:r>
        <w:rPr>
          <w:rFonts w:eastAsia="Batang" w:cs="Arial"/>
          <w:sz w:val="24"/>
          <w:szCs w:val="24"/>
          <w:lang w:val="fr-CA"/>
        </w:rPr>
        <w:t xml:space="preserve"> la qualité de</w:t>
      </w:r>
      <w:r w:rsidRPr="00DC5073">
        <w:rPr>
          <w:rFonts w:eastAsia="Batang" w:cs="Arial"/>
          <w:sz w:val="24"/>
          <w:szCs w:val="24"/>
          <w:lang w:val="fr-CA"/>
        </w:rPr>
        <w:t xml:space="preserve">s soins </w:t>
      </w:r>
      <w:r>
        <w:rPr>
          <w:rFonts w:eastAsia="Batang" w:cs="Arial"/>
          <w:sz w:val="24"/>
          <w:szCs w:val="24"/>
          <w:lang w:val="fr-CA"/>
        </w:rPr>
        <w:t>prodigués</w:t>
      </w:r>
      <w:r w:rsidRPr="00DC5073">
        <w:rPr>
          <w:rFonts w:eastAsia="Batang" w:cs="Arial"/>
          <w:sz w:val="24"/>
          <w:szCs w:val="24"/>
          <w:lang w:val="fr-CA"/>
        </w:rPr>
        <w:t>. Au Royaume-Uni, les 12 premiers projets d</w:t>
      </w:r>
      <w:r>
        <w:rPr>
          <w:rFonts w:eastAsia="Batang" w:cs="Arial"/>
          <w:sz w:val="24"/>
          <w:szCs w:val="24"/>
          <w:lang w:val="fr-CA"/>
        </w:rPr>
        <w:t>’</w:t>
      </w:r>
      <w:r w:rsidRPr="00DC5073">
        <w:rPr>
          <w:rFonts w:eastAsia="Batang" w:cs="Arial"/>
          <w:sz w:val="24"/>
          <w:szCs w:val="24"/>
          <w:lang w:val="fr-CA"/>
        </w:rPr>
        <w:t>hôpitaux en PPP ont enregistré un rendement moyen (c.-à-d. des profits) de 58 </w:t>
      </w:r>
      <w:r w:rsidR="00327171">
        <w:rPr>
          <w:rFonts w:eastAsia="Batang" w:cs="Arial"/>
          <w:sz w:val="24"/>
          <w:szCs w:val="24"/>
          <w:lang w:val="fr-CA"/>
        </w:rPr>
        <w:t>pour</w:t>
      </w:r>
      <w:r w:rsidRPr="00DC5073">
        <w:rPr>
          <w:rFonts w:eastAsia="Batang" w:cs="Arial"/>
          <w:sz w:val="24"/>
          <w:szCs w:val="24"/>
          <w:lang w:val="fr-CA"/>
        </w:rPr>
        <w:t xml:space="preserve"> cent.</w:t>
      </w:r>
      <w:r w:rsidRPr="00DC5073">
        <w:rPr>
          <w:rStyle w:val="EndnoteReference"/>
          <w:rFonts w:eastAsia="Batang" w:cs="Arial"/>
          <w:sz w:val="18"/>
          <w:szCs w:val="18"/>
          <w:lang w:val="fr-CA"/>
        </w:rPr>
        <w:endnoteReference w:id="5"/>
      </w:r>
      <w:r w:rsidRPr="00DC5073">
        <w:rPr>
          <w:rFonts w:eastAsia="Batang" w:cs="Arial"/>
          <w:sz w:val="24"/>
          <w:szCs w:val="24"/>
          <w:lang w:val="fr-CA"/>
        </w:rPr>
        <w:t xml:space="preserve"> Les énormes profits dégagés par les PPP s</w:t>
      </w:r>
      <w:r>
        <w:rPr>
          <w:rFonts w:eastAsia="Batang" w:cs="Arial"/>
          <w:sz w:val="24"/>
          <w:szCs w:val="24"/>
          <w:lang w:val="fr-CA"/>
        </w:rPr>
        <w:t>’</w:t>
      </w:r>
      <w:r w:rsidRPr="00DC5073">
        <w:rPr>
          <w:rFonts w:eastAsia="Batang" w:cs="Arial"/>
          <w:sz w:val="24"/>
          <w:szCs w:val="24"/>
          <w:lang w:val="fr-CA"/>
        </w:rPr>
        <w:t>expliquent par le coût très élevé des emprunts privés.</w:t>
      </w:r>
      <w:r w:rsidRPr="00DC5073">
        <w:rPr>
          <w:rStyle w:val="EndnoteReference"/>
          <w:rFonts w:eastAsia="Batang" w:cs="Arial"/>
          <w:sz w:val="20"/>
          <w:szCs w:val="20"/>
          <w:lang w:val="fr-CA"/>
        </w:rPr>
        <w:endnoteReference w:id="6"/>
      </w:r>
      <w:r w:rsidRPr="00DC5073">
        <w:rPr>
          <w:rFonts w:eastAsia="Batang" w:cs="Arial"/>
          <w:sz w:val="24"/>
          <w:szCs w:val="24"/>
          <w:lang w:val="fr-CA"/>
        </w:rPr>
        <w:t xml:space="preserve"> Dans son article de juin 2009 intitulé « Bad </w:t>
      </w:r>
      <w:proofErr w:type="spellStart"/>
      <w:r w:rsidRPr="00DC5073">
        <w:rPr>
          <w:rFonts w:eastAsia="Batang" w:cs="Arial"/>
          <w:sz w:val="24"/>
          <w:szCs w:val="24"/>
          <w:lang w:val="fr-CA"/>
        </w:rPr>
        <w:t>Before</w:t>
      </w:r>
      <w:proofErr w:type="spellEnd"/>
      <w:r w:rsidRPr="00DC5073">
        <w:rPr>
          <w:rFonts w:eastAsia="Batang" w:cs="Arial"/>
          <w:sz w:val="24"/>
          <w:szCs w:val="24"/>
          <w:lang w:val="fr-CA"/>
        </w:rPr>
        <w:t xml:space="preserve">, </w:t>
      </w:r>
      <w:proofErr w:type="spellStart"/>
      <w:r w:rsidRPr="00DC5073">
        <w:rPr>
          <w:rFonts w:eastAsia="Batang" w:cs="Arial"/>
          <w:sz w:val="24"/>
          <w:szCs w:val="24"/>
          <w:lang w:val="fr-CA"/>
        </w:rPr>
        <w:t>Worse</w:t>
      </w:r>
      <w:proofErr w:type="spellEnd"/>
      <w:r w:rsidRPr="00DC5073">
        <w:rPr>
          <w:rFonts w:eastAsia="Batang" w:cs="Arial"/>
          <w:sz w:val="24"/>
          <w:szCs w:val="24"/>
          <w:lang w:val="fr-CA"/>
        </w:rPr>
        <w:t xml:space="preserve"> </w:t>
      </w:r>
      <w:proofErr w:type="spellStart"/>
      <w:r w:rsidRPr="00DC5073">
        <w:rPr>
          <w:rFonts w:eastAsia="Batang" w:cs="Arial"/>
          <w:sz w:val="24"/>
          <w:szCs w:val="24"/>
          <w:lang w:val="fr-CA"/>
        </w:rPr>
        <w:t>Now</w:t>
      </w:r>
      <w:proofErr w:type="spellEnd"/>
      <w:r w:rsidRPr="00DC5073">
        <w:rPr>
          <w:rFonts w:eastAsia="Batang" w:cs="Arial"/>
          <w:sz w:val="24"/>
          <w:szCs w:val="24"/>
          <w:lang w:val="fr-CA"/>
        </w:rPr>
        <w:t> », l</w:t>
      </w:r>
      <w:r>
        <w:rPr>
          <w:rFonts w:eastAsia="Batang" w:cs="Arial"/>
          <w:sz w:val="24"/>
          <w:szCs w:val="24"/>
          <w:lang w:val="fr-CA"/>
        </w:rPr>
        <w:t>’</w:t>
      </w:r>
      <w:r w:rsidRPr="00DC5073">
        <w:rPr>
          <w:rFonts w:eastAsia="Batang" w:cs="Arial"/>
          <w:sz w:val="24"/>
          <w:szCs w:val="24"/>
          <w:lang w:val="fr-CA"/>
        </w:rPr>
        <w:t>économiste Hugh Mackenzie précise que les emprunts privés contractés par les PPP coûtent 83 </w:t>
      </w:r>
      <w:r w:rsidR="00327171">
        <w:rPr>
          <w:rFonts w:eastAsia="Batang" w:cs="Arial"/>
          <w:sz w:val="24"/>
          <w:szCs w:val="24"/>
          <w:lang w:val="fr-CA"/>
        </w:rPr>
        <w:t>pour</w:t>
      </w:r>
      <w:r w:rsidRPr="00DC5073">
        <w:rPr>
          <w:rFonts w:eastAsia="Batang" w:cs="Arial"/>
          <w:sz w:val="24"/>
          <w:szCs w:val="24"/>
          <w:lang w:val="fr-CA"/>
        </w:rPr>
        <w:t xml:space="preserve"> cent plus cher que les emprunts contractés par le secteur public.</w:t>
      </w:r>
      <w:r w:rsidRPr="00DC5073">
        <w:rPr>
          <w:rStyle w:val="EndnoteReference"/>
          <w:rFonts w:eastAsia="Batang" w:cs="Arial"/>
          <w:sz w:val="20"/>
          <w:szCs w:val="20"/>
          <w:lang w:val="fr-CA"/>
        </w:rPr>
        <w:endnoteReference w:id="7"/>
      </w:r>
    </w:p>
    <w:p w:rsidR="00F95166" w:rsidRPr="00DC5073" w:rsidRDefault="00F95166" w:rsidP="000335F0">
      <w:pPr>
        <w:jc w:val="both"/>
        <w:rPr>
          <w:rFonts w:eastAsia="Batang" w:cs="Arial"/>
          <w:sz w:val="24"/>
          <w:szCs w:val="24"/>
          <w:lang w:val="fr-CA"/>
        </w:rPr>
      </w:pPr>
      <w:r>
        <w:rPr>
          <w:rFonts w:eastAsia="Batang" w:cs="Arial"/>
          <w:color w:val="000000"/>
          <w:sz w:val="24"/>
          <w:szCs w:val="24"/>
          <w:lang w:val="fr-CA"/>
        </w:rPr>
        <w:t>A</w:t>
      </w:r>
      <w:r w:rsidRPr="00DC5073">
        <w:rPr>
          <w:rFonts w:eastAsia="Batang" w:cs="Arial"/>
          <w:color w:val="000000"/>
          <w:sz w:val="24"/>
          <w:szCs w:val="24"/>
          <w:lang w:val="fr-CA"/>
        </w:rPr>
        <w:t xml:space="preserve">u Canada et </w:t>
      </w:r>
      <w:r>
        <w:rPr>
          <w:rFonts w:eastAsia="Batang" w:cs="Arial"/>
          <w:color w:val="000000"/>
          <w:sz w:val="24"/>
          <w:szCs w:val="24"/>
          <w:lang w:val="fr-CA"/>
        </w:rPr>
        <w:t>ailleurs dans le monde, d</w:t>
      </w:r>
      <w:r w:rsidRPr="00DC5073">
        <w:rPr>
          <w:rFonts w:eastAsia="Batang" w:cs="Arial"/>
          <w:color w:val="000000"/>
          <w:sz w:val="24"/>
          <w:szCs w:val="24"/>
          <w:lang w:val="fr-CA"/>
        </w:rPr>
        <w:t xml:space="preserve">es travailleurs de la santé, patients, familles et militants </w:t>
      </w:r>
      <w:r>
        <w:rPr>
          <w:rFonts w:eastAsia="Batang" w:cs="Arial"/>
          <w:color w:val="000000"/>
          <w:sz w:val="24"/>
          <w:szCs w:val="24"/>
          <w:lang w:val="fr-CA"/>
        </w:rPr>
        <w:t>exercent des pressions en faveur d’un système de</w:t>
      </w:r>
      <w:r w:rsidRPr="00DC5073">
        <w:rPr>
          <w:rFonts w:eastAsia="Batang" w:cs="Arial"/>
          <w:color w:val="000000"/>
          <w:sz w:val="24"/>
          <w:szCs w:val="24"/>
          <w:lang w:val="fr-CA"/>
        </w:rPr>
        <w:t xml:space="preserve"> soins hospitaliers publics à but non lucratif.</w:t>
      </w:r>
      <w:r w:rsidRPr="00DC5073">
        <w:rPr>
          <w:rStyle w:val="EndnoteReference"/>
          <w:rFonts w:eastAsia="Batang" w:cs="Arial"/>
          <w:sz w:val="20"/>
          <w:szCs w:val="20"/>
          <w:lang w:val="fr-CA"/>
        </w:rPr>
        <w:endnoteReference w:id="8"/>
      </w:r>
      <w:r w:rsidRPr="00DC5073">
        <w:rPr>
          <w:rFonts w:eastAsia="Batang" w:cs="Arial"/>
          <w:color w:val="000000"/>
          <w:sz w:val="24"/>
          <w:szCs w:val="24"/>
          <w:lang w:val="fr-CA"/>
        </w:rPr>
        <w:t xml:space="preserve"> Le SCFP, à l</w:t>
      </w:r>
      <w:r>
        <w:rPr>
          <w:rFonts w:eastAsia="Batang" w:cs="Arial"/>
          <w:color w:val="000000"/>
          <w:sz w:val="24"/>
          <w:szCs w:val="24"/>
          <w:lang w:val="fr-CA"/>
        </w:rPr>
        <w:t>’</w:t>
      </w:r>
      <w:r w:rsidRPr="00DC5073">
        <w:rPr>
          <w:rFonts w:eastAsia="Batang" w:cs="Arial"/>
          <w:color w:val="000000"/>
          <w:sz w:val="24"/>
          <w:szCs w:val="24"/>
          <w:lang w:val="fr-CA"/>
        </w:rPr>
        <w:t>instar d</w:t>
      </w:r>
      <w:r>
        <w:rPr>
          <w:rFonts w:eastAsia="Batang" w:cs="Arial"/>
          <w:color w:val="000000"/>
          <w:sz w:val="24"/>
          <w:szCs w:val="24"/>
          <w:lang w:val="fr-CA"/>
        </w:rPr>
        <w:t>’</w:t>
      </w:r>
      <w:r w:rsidRPr="00DC5073">
        <w:rPr>
          <w:rFonts w:eastAsia="Batang" w:cs="Arial"/>
          <w:color w:val="000000"/>
          <w:sz w:val="24"/>
          <w:szCs w:val="24"/>
          <w:lang w:val="fr-CA"/>
        </w:rPr>
        <w:t>autres syndicats et organis</w:t>
      </w:r>
      <w:r>
        <w:rPr>
          <w:rFonts w:eastAsia="Batang" w:cs="Arial"/>
          <w:color w:val="000000"/>
          <w:sz w:val="24"/>
          <w:szCs w:val="24"/>
          <w:lang w:val="fr-CA"/>
        </w:rPr>
        <w:t>me</w:t>
      </w:r>
      <w:r w:rsidRPr="00DC5073">
        <w:rPr>
          <w:rFonts w:eastAsia="Batang" w:cs="Arial"/>
          <w:color w:val="000000"/>
          <w:sz w:val="24"/>
          <w:szCs w:val="24"/>
          <w:lang w:val="fr-CA"/>
        </w:rPr>
        <w:t xml:space="preserve">s très représentatifs de la société canadienne, exige le maintien des hôpitaux publics et </w:t>
      </w:r>
      <w:r w:rsidRPr="00DC5073">
        <w:rPr>
          <w:rFonts w:eastAsia="Batang" w:cs="Arial"/>
          <w:color w:val="000000"/>
          <w:sz w:val="24"/>
          <w:szCs w:val="24"/>
          <w:u w:val="single"/>
          <w:lang w:val="fr-CA"/>
        </w:rPr>
        <w:t>re</w:t>
      </w:r>
      <w:r>
        <w:rPr>
          <w:rFonts w:eastAsia="Batang" w:cs="Arial"/>
          <w:color w:val="000000"/>
          <w:sz w:val="24"/>
          <w:szCs w:val="24"/>
          <w:u w:val="single"/>
          <w:lang w:val="fr-CA"/>
        </w:rPr>
        <w:t>jette</w:t>
      </w:r>
      <w:r>
        <w:rPr>
          <w:rFonts w:eastAsia="Batang" w:cs="Arial"/>
          <w:color w:val="000000"/>
          <w:sz w:val="24"/>
          <w:szCs w:val="24"/>
          <w:lang w:val="fr-CA"/>
        </w:rPr>
        <w:t xml:space="preserve"> le modèle des</w:t>
      </w:r>
      <w:r w:rsidRPr="00DC5073">
        <w:rPr>
          <w:rFonts w:eastAsia="Batang" w:cs="Arial"/>
          <w:color w:val="000000"/>
          <w:sz w:val="24"/>
          <w:szCs w:val="24"/>
          <w:lang w:val="fr-CA"/>
        </w:rPr>
        <w:t xml:space="preserve"> hôpitaux en PPP. </w:t>
      </w:r>
      <w:r w:rsidRPr="00DC5073">
        <w:rPr>
          <w:rFonts w:eastAsia="Batang" w:cs="Arial"/>
          <w:sz w:val="24"/>
          <w:szCs w:val="24"/>
          <w:lang w:val="fr-CA"/>
        </w:rPr>
        <w:t>Au Québec, des coalitions contre les hôpitaux en PPP regroupent des travailleurs et des citoyens, dont des étudiants, des féministes, des écologistes et des experts de l</w:t>
      </w:r>
      <w:r>
        <w:rPr>
          <w:rFonts w:eastAsia="Batang" w:cs="Arial"/>
          <w:sz w:val="24"/>
          <w:szCs w:val="24"/>
          <w:lang w:val="fr-CA"/>
        </w:rPr>
        <w:t>’</w:t>
      </w:r>
      <w:r w:rsidRPr="00DC5073">
        <w:rPr>
          <w:rFonts w:eastAsia="Batang" w:cs="Arial"/>
          <w:sz w:val="24"/>
          <w:szCs w:val="24"/>
          <w:lang w:val="fr-CA"/>
        </w:rPr>
        <w:t>industrie de la construction.</w:t>
      </w:r>
      <w:r w:rsidRPr="00DC5073">
        <w:rPr>
          <w:rStyle w:val="EndnoteReference"/>
          <w:rFonts w:eastAsia="Batang" w:cs="Arial"/>
          <w:sz w:val="20"/>
          <w:szCs w:val="20"/>
          <w:lang w:val="fr-CA"/>
        </w:rPr>
        <w:endnoteReference w:id="9"/>
      </w:r>
      <w:r w:rsidRPr="00DC5073">
        <w:rPr>
          <w:rFonts w:eastAsia="Batang" w:cs="Arial"/>
          <w:sz w:val="24"/>
          <w:szCs w:val="24"/>
          <w:lang w:val="fr-CA"/>
        </w:rPr>
        <w:t xml:space="preserve"> La Coalition ontarienne de la santé a recueilli des milliers de signatures de personnes favorables aux hôpitaux publics.</w:t>
      </w:r>
      <w:r w:rsidRPr="00DC5073">
        <w:rPr>
          <w:rStyle w:val="EndnoteReference"/>
          <w:rFonts w:eastAsia="Batang" w:cs="Arial"/>
          <w:sz w:val="20"/>
          <w:szCs w:val="20"/>
          <w:lang w:val="fr-CA"/>
        </w:rPr>
        <w:endnoteReference w:id="10"/>
      </w:r>
      <w:r w:rsidRPr="00DC5073">
        <w:rPr>
          <w:rStyle w:val="EndnoteReference"/>
          <w:sz w:val="20"/>
          <w:szCs w:val="20"/>
          <w:lang w:val="fr-CA"/>
        </w:rPr>
        <w:t xml:space="preserve"> </w:t>
      </w:r>
      <w:r>
        <w:rPr>
          <w:rFonts w:eastAsia="Batang" w:cs="Arial"/>
          <w:sz w:val="24"/>
          <w:szCs w:val="24"/>
          <w:lang w:val="fr-CA"/>
        </w:rPr>
        <w:t>E</w:t>
      </w:r>
      <w:r w:rsidRPr="00DC5073">
        <w:rPr>
          <w:rFonts w:eastAsia="Batang" w:cs="Arial"/>
          <w:sz w:val="24"/>
          <w:szCs w:val="24"/>
          <w:lang w:val="fr-CA"/>
        </w:rPr>
        <w:t>n Colombie-Britannique</w:t>
      </w:r>
      <w:r>
        <w:rPr>
          <w:rFonts w:eastAsia="Batang" w:cs="Arial"/>
          <w:sz w:val="24"/>
          <w:szCs w:val="24"/>
          <w:lang w:val="fr-CA"/>
        </w:rPr>
        <w:t>, d</w:t>
      </w:r>
      <w:r w:rsidRPr="00DC5073">
        <w:rPr>
          <w:rFonts w:eastAsia="Batang" w:cs="Arial"/>
          <w:sz w:val="24"/>
          <w:szCs w:val="24"/>
          <w:lang w:val="fr-CA"/>
        </w:rPr>
        <w:t xml:space="preserve">es militants ont </w:t>
      </w:r>
      <w:r>
        <w:rPr>
          <w:rFonts w:eastAsia="Batang" w:cs="Arial"/>
          <w:sz w:val="24"/>
          <w:szCs w:val="24"/>
          <w:lang w:val="fr-CA"/>
        </w:rPr>
        <w:t>mis l’épaule à la roue</w:t>
      </w:r>
      <w:r w:rsidRPr="00DC5073">
        <w:rPr>
          <w:rFonts w:eastAsia="Batang" w:cs="Arial"/>
          <w:sz w:val="24"/>
          <w:szCs w:val="24"/>
          <w:lang w:val="fr-CA"/>
        </w:rPr>
        <w:t xml:space="preserve"> pour forcer le gouvernement à </w:t>
      </w:r>
      <w:r>
        <w:rPr>
          <w:rFonts w:eastAsia="Batang" w:cs="Arial"/>
          <w:sz w:val="24"/>
          <w:szCs w:val="24"/>
          <w:lang w:val="fr-CA"/>
        </w:rPr>
        <w:t>reculer par rapport à</w:t>
      </w:r>
      <w:r w:rsidRPr="00DC5073">
        <w:rPr>
          <w:rFonts w:eastAsia="Batang" w:cs="Arial"/>
          <w:sz w:val="24"/>
          <w:szCs w:val="24"/>
          <w:lang w:val="fr-CA"/>
        </w:rPr>
        <w:t xml:space="preserve"> ses projets d</w:t>
      </w:r>
      <w:r>
        <w:rPr>
          <w:rFonts w:eastAsia="Batang" w:cs="Arial"/>
          <w:sz w:val="24"/>
          <w:szCs w:val="24"/>
          <w:lang w:val="fr-CA"/>
        </w:rPr>
        <w:t>’</w:t>
      </w:r>
      <w:r w:rsidRPr="00DC5073">
        <w:rPr>
          <w:rFonts w:eastAsia="Batang" w:cs="Arial"/>
          <w:sz w:val="24"/>
          <w:szCs w:val="24"/>
          <w:lang w:val="fr-CA"/>
        </w:rPr>
        <w:t>hôpitaux en PPP.</w:t>
      </w:r>
      <w:r w:rsidRPr="00DC5073">
        <w:rPr>
          <w:rStyle w:val="EndnoteReference"/>
          <w:rFonts w:eastAsia="Batang" w:cs="Arial"/>
          <w:sz w:val="20"/>
          <w:szCs w:val="20"/>
          <w:lang w:val="fr-CA"/>
        </w:rPr>
        <w:endnoteReference w:id="11"/>
      </w:r>
      <w:r w:rsidRPr="00DC5073">
        <w:rPr>
          <w:rStyle w:val="EndnoteReference"/>
          <w:sz w:val="20"/>
          <w:szCs w:val="20"/>
          <w:lang w:val="fr-CA"/>
        </w:rPr>
        <w:t xml:space="preserve"> </w:t>
      </w:r>
      <w:r w:rsidRPr="00DC5073">
        <w:rPr>
          <w:rFonts w:eastAsia="Batang" w:cs="Arial"/>
          <w:sz w:val="24"/>
          <w:szCs w:val="24"/>
          <w:lang w:val="fr-CA"/>
        </w:rPr>
        <w:t xml:space="preserve">Au Royaume-Uni, la British </w:t>
      </w:r>
      <w:proofErr w:type="spellStart"/>
      <w:r w:rsidRPr="00DC5073">
        <w:rPr>
          <w:rFonts w:eastAsia="Batang" w:cs="Arial"/>
          <w:sz w:val="24"/>
          <w:szCs w:val="24"/>
          <w:lang w:val="fr-CA"/>
        </w:rPr>
        <w:t>Medical</w:t>
      </w:r>
      <w:proofErr w:type="spellEnd"/>
      <w:r w:rsidRPr="00DC5073">
        <w:rPr>
          <w:rFonts w:eastAsia="Batang" w:cs="Arial"/>
          <w:sz w:val="24"/>
          <w:szCs w:val="24"/>
          <w:lang w:val="fr-CA"/>
        </w:rPr>
        <w:t xml:space="preserve"> Association a mis les gouvernements au Canada en garde contre les hôpitaux en PPP</w:t>
      </w:r>
      <w:r>
        <w:rPr>
          <w:rFonts w:eastAsia="Batang" w:cs="Arial"/>
          <w:sz w:val="24"/>
          <w:szCs w:val="24"/>
          <w:lang w:val="fr-CA"/>
        </w:rPr>
        <w:t xml:space="preserve">, lesquels </w:t>
      </w:r>
      <w:r w:rsidRPr="00DC5073">
        <w:rPr>
          <w:rFonts w:eastAsia="Batang" w:cs="Arial"/>
          <w:sz w:val="24"/>
          <w:szCs w:val="24"/>
          <w:lang w:val="fr-CA"/>
        </w:rPr>
        <w:t xml:space="preserve">ont </w:t>
      </w:r>
      <w:r>
        <w:rPr>
          <w:rFonts w:eastAsia="Batang" w:cs="Arial"/>
          <w:sz w:val="24"/>
          <w:szCs w:val="24"/>
          <w:lang w:val="fr-CA"/>
        </w:rPr>
        <w:t>miné</w:t>
      </w:r>
      <w:r w:rsidRPr="00DC5073">
        <w:rPr>
          <w:rFonts w:eastAsia="Batang" w:cs="Arial"/>
          <w:sz w:val="24"/>
          <w:szCs w:val="24"/>
          <w:lang w:val="fr-CA"/>
        </w:rPr>
        <w:t xml:space="preserve"> l</w:t>
      </w:r>
      <w:r>
        <w:rPr>
          <w:rFonts w:eastAsia="Batang" w:cs="Arial"/>
          <w:sz w:val="24"/>
          <w:szCs w:val="24"/>
          <w:lang w:val="fr-CA"/>
        </w:rPr>
        <w:t>’</w:t>
      </w:r>
      <w:r w:rsidRPr="00DC5073">
        <w:rPr>
          <w:rFonts w:eastAsia="Batang" w:cs="Arial"/>
          <w:sz w:val="24"/>
          <w:szCs w:val="24"/>
          <w:lang w:val="fr-CA"/>
        </w:rPr>
        <w:t>accessibilité et la qualité des soins de santé au Royaume-Uni.</w:t>
      </w:r>
      <w:r w:rsidRPr="00DC5073">
        <w:rPr>
          <w:rStyle w:val="EndnoteReference"/>
          <w:rFonts w:eastAsia="Batang" w:cs="Arial"/>
          <w:sz w:val="20"/>
          <w:szCs w:val="20"/>
          <w:lang w:val="fr-CA"/>
        </w:rPr>
        <w:endnoteReference w:id="12"/>
      </w:r>
    </w:p>
    <w:p w:rsidR="00F95166" w:rsidRPr="00DC5073" w:rsidRDefault="00F95166" w:rsidP="000335F0">
      <w:pPr>
        <w:jc w:val="both"/>
        <w:rPr>
          <w:rFonts w:eastAsia="Batang" w:cs="Arial"/>
          <w:color w:val="000000"/>
          <w:sz w:val="24"/>
          <w:szCs w:val="24"/>
          <w:lang w:val="fr-CA"/>
        </w:rPr>
      </w:pPr>
      <w:r w:rsidRPr="00DC5073">
        <w:rPr>
          <w:rFonts w:eastAsia="Batang" w:cs="Arial"/>
          <w:color w:val="000000"/>
          <w:sz w:val="24"/>
          <w:szCs w:val="24"/>
          <w:lang w:val="fr-CA"/>
        </w:rPr>
        <w:t>Le présent rapport examine comment et pourquoi les hôpitaux publics sont de loin préférables aux hôpitaux en PPP. Les hôpitaux en PPP sont gaspilleurs de fonds publics et un système d</w:t>
      </w:r>
      <w:r>
        <w:rPr>
          <w:rFonts w:eastAsia="Batang" w:cs="Arial"/>
          <w:color w:val="000000"/>
          <w:sz w:val="24"/>
          <w:szCs w:val="24"/>
          <w:lang w:val="fr-CA"/>
        </w:rPr>
        <w:t>’</w:t>
      </w:r>
      <w:r w:rsidRPr="00DC5073">
        <w:rPr>
          <w:rFonts w:eastAsia="Batang" w:cs="Arial"/>
          <w:color w:val="000000"/>
          <w:sz w:val="24"/>
          <w:szCs w:val="24"/>
          <w:lang w:val="fr-CA"/>
        </w:rPr>
        <w:t xml:space="preserve">hôpitaux en PPP est, par définition, peu transparent </w:t>
      </w:r>
      <w:r>
        <w:rPr>
          <w:rFonts w:eastAsia="Batang" w:cs="Arial"/>
          <w:color w:val="000000"/>
          <w:sz w:val="24"/>
          <w:szCs w:val="24"/>
          <w:lang w:val="fr-CA"/>
        </w:rPr>
        <w:t>ou</w:t>
      </w:r>
      <w:r w:rsidRPr="00DC5073">
        <w:rPr>
          <w:rFonts w:eastAsia="Batang" w:cs="Arial"/>
          <w:color w:val="000000"/>
          <w:sz w:val="24"/>
          <w:szCs w:val="24"/>
          <w:lang w:val="fr-CA"/>
        </w:rPr>
        <w:t xml:space="preserve"> démocratique. Par ailleurs, </w:t>
      </w:r>
      <w:r>
        <w:rPr>
          <w:rFonts w:eastAsia="Batang" w:cs="Arial"/>
          <w:color w:val="000000"/>
          <w:sz w:val="24"/>
          <w:szCs w:val="24"/>
          <w:lang w:val="fr-CA"/>
        </w:rPr>
        <w:t xml:space="preserve">il </w:t>
      </w:r>
      <w:r w:rsidRPr="00DC5073">
        <w:rPr>
          <w:rFonts w:eastAsia="Batang" w:cs="Arial"/>
          <w:color w:val="000000"/>
          <w:sz w:val="24"/>
          <w:szCs w:val="24"/>
          <w:lang w:val="fr-CA"/>
        </w:rPr>
        <w:t>est avantageux pour l</w:t>
      </w:r>
      <w:r>
        <w:rPr>
          <w:rFonts w:eastAsia="Batang" w:cs="Arial"/>
          <w:color w:val="000000"/>
          <w:sz w:val="24"/>
          <w:szCs w:val="24"/>
          <w:lang w:val="fr-CA"/>
        </w:rPr>
        <w:t>’</w:t>
      </w:r>
      <w:r w:rsidRPr="00DC5073">
        <w:rPr>
          <w:rFonts w:eastAsia="Batang" w:cs="Arial"/>
          <w:color w:val="000000"/>
          <w:sz w:val="24"/>
          <w:szCs w:val="24"/>
          <w:lang w:val="fr-CA"/>
        </w:rPr>
        <w:t>économie canadienne</w:t>
      </w:r>
      <w:r>
        <w:rPr>
          <w:rFonts w:eastAsia="Batang" w:cs="Arial"/>
          <w:color w:val="000000"/>
          <w:sz w:val="24"/>
          <w:szCs w:val="24"/>
          <w:lang w:val="fr-CA"/>
        </w:rPr>
        <w:t xml:space="preserve"> de confier la réfection des hôpitaux au secteur public</w:t>
      </w:r>
      <w:r w:rsidRPr="00DC5073">
        <w:rPr>
          <w:rFonts w:eastAsia="Batang" w:cs="Arial"/>
          <w:color w:val="000000"/>
          <w:sz w:val="24"/>
          <w:szCs w:val="24"/>
          <w:lang w:val="fr-CA"/>
        </w:rPr>
        <w:t>. De plus, le présent rapport explique comment les hôpitaux publics sont mieux outillés que les hôpitaux en PPP pour prodiguer des soins de qualité.</w:t>
      </w:r>
    </w:p>
    <w:p w:rsidR="00F95166" w:rsidRPr="00DC5073" w:rsidRDefault="00F95166" w:rsidP="000335F0">
      <w:pPr>
        <w:jc w:val="both"/>
        <w:rPr>
          <w:rFonts w:eastAsia="Batang" w:cs="Arial"/>
          <w:color w:val="000000"/>
          <w:sz w:val="24"/>
          <w:szCs w:val="24"/>
          <w:lang w:val="fr-CA"/>
        </w:rPr>
      </w:pPr>
      <w:r w:rsidRPr="00DC5073">
        <w:rPr>
          <w:rFonts w:eastAsia="Batang" w:cs="Arial"/>
          <w:sz w:val="24"/>
          <w:szCs w:val="24"/>
          <w:lang w:val="fr-CA"/>
        </w:rPr>
        <w:t>Au Canada, les gouvernements ont la possibilité de poursuivre le développement du système d</w:t>
      </w:r>
      <w:r>
        <w:rPr>
          <w:rFonts w:eastAsia="Batang" w:cs="Arial"/>
          <w:sz w:val="24"/>
          <w:szCs w:val="24"/>
          <w:lang w:val="fr-CA"/>
        </w:rPr>
        <w:t>’</w:t>
      </w:r>
      <w:r w:rsidRPr="00DC5073">
        <w:rPr>
          <w:rFonts w:eastAsia="Batang" w:cs="Arial"/>
          <w:sz w:val="24"/>
          <w:szCs w:val="24"/>
          <w:lang w:val="fr-CA"/>
        </w:rPr>
        <w:t>hôpitaux publics. Ils peuvent émettre des obligations pour financer la rénovation et la construction d</w:t>
      </w:r>
      <w:r>
        <w:rPr>
          <w:rFonts w:eastAsia="Batang" w:cs="Arial"/>
          <w:sz w:val="24"/>
          <w:szCs w:val="24"/>
          <w:lang w:val="fr-CA"/>
        </w:rPr>
        <w:t>’</w:t>
      </w:r>
      <w:r w:rsidRPr="00DC5073">
        <w:rPr>
          <w:rFonts w:eastAsia="Batang" w:cs="Arial"/>
          <w:sz w:val="24"/>
          <w:szCs w:val="24"/>
          <w:lang w:val="fr-CA"/>
        </w:rPr>
        <w:t>hôpitaux publics. La vé</w:t>
      </w:r>
      <w:r>
        <w:rPr>
          <w:rFonts w:eastAsia="Batang" w:cs="Arial"/>
          <w:sz w:val="24"/>
          <w:szCs w:val="24"/>
          <w:lang w:val="fr-CA"/>
        </w:rPr>
        <w:t>rificatrice générale du Canada</w:t>
      </w:r>
      <w:r w:rsidRPr="00DC5073">
        <w:rPr>
          <w:rFonts w:eastAsia="Batang" w:cs="Arial"/>
          <w:sz w:val="24"/>
          <w:szCs w:val="24"/>
          <w:lang w:val="fr-CA"/>
        </w:rPr>
        <w:t xml:space="preserve"> devrait enquêter sur tous les hôpitaux en PPP dans l</w:t>
      </w:r>
      <w:r>
        <w:rPr>
          <w:rFonts w:eastAsia="Batang" w:cs="Arial"/>
          <w:sz w:val="24"/>
          <w:szCs w:val="24"/>
          <w:lang w:val="fr-CA"/>
        </w:rPr>
        <w:t>’</w:t>
      </w:r>
      <w:r w:rsidRPr="00DC5073">
        <w:rPr>
          <w:rFonts w:eastAsia="Batang" w:cs="Arial"/>
          <w:sz w:val="24"/>
          <w:szCs w:val="24"/>
          <w:lang w:val="fr-CA"/>
        </w:rPr>
        <w:t>o</w:t>
      </w:r>
      <w:r>
        <w:rPr>
          <w:rFonts w:eastAsia="Batang" w:cs="Arial"/>
          <w:sz w:val="24"/>
          <w:szCs w:val="24"/>
          <w:lang w:val="fr-CA"/>
        </w:rPr>
        <w:t>ptique</w:t>
      </w:r>
      <w:r w:rsidRPr="00DC5073">
        <w:rPr>
          <w:rFonts w:eastAsia="Batang" w:cs="Arial"/>
          <w:sz w:val="24"/>
          <w:szCs w:val="24"/>
          <w:lang w:val="fr-CA"/>
        </w:rPr>
        <w:t xml:space="preserve"> de dénoncer tous les problèmes inhérents à ceux-ci, dont la dilapidation de fonds publics.</w:t>
      </w:r>
    </w:p>
    <w:p w:rsidR="00F95166" w:rsidRPr="00DC5073" w:rsidRDefault="00F95166" w:rsidP="001A100E">
      <w:pPr>
        <w:jc w:val="both"/>
        <w:rPr>
          <w:rFonts w:eastAsia="Batang" w:cs="Arial"/>
          <w:color w:val="000000"/>
          <w:sz w:val="24"/>
          <w:szCs w:val="24"/>
          <w:lang w:val="fr-CA"/>
        </w:rPr>
      </w:pPr>
      <w:r w:rsidRPr="00DC5073">
        <w:rPr>
          <w:rFonts w:eastAsia="Batang" w:cs="Arial"/>
          <w:color w:val="000000"/>
          <w:sz w:val="24"/>
          <w:szCs w:val="24"/>
          <w:lang w:val="fr-CA"/>
        </w:rPr>
        <w:t xml:space="preserve">Le </w:t>
      </w:r>
      <w:r w:rsidR="00E57C2F">
        <w:rPr>
          <w:rFonts w:eastAsia="Batang" w:cs="Arial"/>
          <w:color w:val="000000"/>
          <w:sz w:val="24"/>
          <w:szCs w:val="24"/>
          <w:lang w:val="fr-CA"/>
        </w:rPr>
        <w:t>Syndicat canadien de la fonction publique (</w:t>
      </w:r>
      <w:r w:rsidRPr="00DC5073">
        <w:rPr>
          <w:rFonts w:eastAsia="Batang" w:cs="Arial"/>
          <w:color w:val="000000"/>
          <w:sz w:val="24"/>
          <w:szCs w:val="24"/>
          <w:lang w:val="fr-CA"/>
        </w:rPr>
        <w:t>SCFP</w:t>
      </w:r>
      <w:r w:rsidR="00E57C2F">
        <w:rPr>
          <w:rFonts w:eastAsia="Batang" w:cs="Arial"/>
          <w:color w:val="000000"/>
          <w:sz w:val="24"/>
          <w:szCs w:val="24"/>
          <w:lang w:val="fr-CA"/>
        </w:rPr>
        <w:t>)</w:t>
      </w:r>
      <w:r w:rsidRPr="00DC5073">
        <w:rPr>
          <w:rFonts w:eastAsia="Batang" w:cs="Arial"/>
          <w:color w:val="000000"/>
          <w:sz w:val="24"/>
          <w:szCs w:val="24"/>
          <w:lang w:val="fr-CA"/>
        </w:rPr>
        <w:t xml:space="preserve"> se porte à la défense des hôpitaux publics – </w:t>
      </w:r>
      <w:r>
        <w:rPr>
          <w:rFonts w:eastAsia="Batang" w:cs="Arial"/>
          <w:color w:val="000000"/>
          <w:sz w:val="24"/>
          <w:szCs w:val="24"/>
          <w:lang w:val="fr-CA"/>
        </w:rPr>
        <w:t xml:space="preserve">à </w:t>
      </w:r>
      <w:r w:rsidRPr="00DC5073">
        <w:rPr>
          <w:rFonts w:eastAsia="Batang" w:cs="Arial"/>
          <w:color w:val="000000"/>
          <w:sz w:val="24"/>
          <w:szCs w:val="24"/>
          <w:lang w:val="fr-CA"/>
        </w:rPr>
        <w:t>la fois comme travailleurs d</w:t>
      </w:r>
      <w:r>
        <w:rPr>
          <w:rFonts w:eastAsia="Batang" w:cs="Arial"/>
          <w:color w:val="000000"/>
          <w:sz w:val="24"/>
          <w:szCs w:val="24"/>
          <w:lang w:val="fr-CA"/>
        </w:rPr>
        <w:t>’</w:t>
      </w:r>
      <w:r w:rsidRPr="00DC5073">
        <w:rPr>
          <w:rFonts w:eastAsia="Batang" w:cs="Arial"/>
          <w:color w:val="000000"/>
          <w:sz w:val="24"/>
          <w:szCs w:val="24"/>
          <w:lang w:val="fr-CA"/>
        </w:rPr>
        <w:t xml:space="preserve">hôpital, patients et </w:t>
      </w:r>
      <w:r>
        <w:rPr>
          <w:rFonts w:eastAsia="Batang" w:cs="Arial"/>
          <w:color w:val="000000"/>
          <w:sz w:val="24"/>
          <w:szCs w:val="24"/>
          <w:lang w:val="fr-CA"/>
        </w:rPr>
        <w:t>proches parents de patients</w:t>
      </w:r>
      <w:r w:rsidRPr="00DC5073">
        <w:rPr>
          <w:rFonts w:eastAsia="Batang" w:cs="Arial"/>
          <w:color w:val="000000"/>
          <w:sz w:val="24"/>
          <w:szCs w:val="24"/>
          <w:lang w:val="fr-CA"/>
        </w:rPr>
        <w:t>. Le SCFP représente près de 200 000 travailleurs de la santé au Canada – dont plus de 100 000 en milieu hospitalier. Nos membres assurent des services de soutien (alimentation, nettoyage et buanderie) ainsi que des services directs aux patients, dont des soins infirmiers et des services de réadaptation. Le SCFP représente également des membres qui travaillent dans d</w:t>
      </w:r>
      <w:r>
        <w:rPr>
          <w:rFonts w:eastAsia="Batang" w:cs="Arial"/>
          <w:color w:val="000000"/>
          <w:sz w:val="24"/>
          <w:szCs w:val="24"/>
          <w:lang w:val="fr-CA"/>
        </w:rPr>
        <w:t>’</w:t>
      </w:r>
      <w:r w:rsidRPr="00DC5073">
        <w:rPr>
          <w:rFonts w:eastAsia="Batang" w:cs="Arial"/>
          <w:color w:val="000000"/>
          <w:sz w:val="24"/>
          <w:szCs w:val="24"/>
          <w:lang w:val="fr-CA"/>
        </w:rPr>
        <w:t>autres secteurs, dont l</w:t>
      </w:r>
      <w:r>
        <w:rPr>
          <w:rFonts w:eastAsia="Batang" w:cs="Arial"/>
          <w:color w:val="000000"/>
          <w:sz w:val="24"/>
          <w:szCs w:val="24"/>
          <w:lang w:val="fr-CA"/>
        </w:rPr>
        <w:t>’</w:t>
      </w:r>
      <w:r w:rsidRPr="00DC5073">
        <w:rPr>
          <w:rFonts w:eastAsia="Batang" w:cs="Arial"/>
          <w:color w:val="000000"/>
          <w:sz w:val="24"/>
          <w:szCs w:val="24"/>
          <w:lang w:val="fr-CA"/>
        </w:rPr>
        <w:t>éducation, les services sociaux, les municipalités et le transport aérien. Au total, le SCFP représente plus de 600 000 membres au Canada, ce qui en fait le premier syndicat canadien en importance.</w:t>
      </w:r>
    </w:p>
    <w:p w:rsidR="00F95166" w:rsidRPr="00610B8A" w:rsidRDefault="00F95166" w:rsidP="00610B8A">
      <w:pPr>
        <w:spacing w:before="360"/>
        <w:rPr>
          <w:rFonts w:eastAsia="Batang" w:cs="Arial"/>
          <w:i/>
          <w:color w:val="000000"/>
          <w:sz w:val="24"/>
          <w:szCs w:val="24"/>
          <w:lang w:val="fr-CA"/>
        </w:rPr>
      </w:pPr>
      <w:r w:rsidRPr="00610B8A">
        <w:rPr>
          <w:rFonts w:eastAsia="Batang" w:cs="Arial"/>
          <w:i/>
          <w:color w:val="000000"/>
          <w:sz w:val="24"/>
          <w:szCs w:val="24"/>
          <w:lang w:val="fr-CA"/>
        </w:rPr>
        <w:t>Que sont des hôpitaux en PPP et où les trouve-t-on?</w:t>
      </w:r>
    </w:p>
    <w:p w:rsidR="00F95166" w:rsidRPr="00DC5073" w:rsidRDefault="00F95166" w:rsidP="000335F0">
      <w:pPr>
        <w:jc w:val="both"/>
        <w:rPr>
          <w:rFonts w:eastAsia="Batang" w:cs="Arial"/>
          <w:color w:val="000000"/>
          <w:sz w:val="24"/>
          <w:szCs w:val="24"/>
          <w:lang w:val="fr-CA"/>
        </w:rPr>
      </w:pPr>
      <w:r w:rsidRPr="00DC5073">
        <w:rPr>
          <w:rFonts w:eastAsia="Batang" w:cs="Arial"/>
          <w:color w:val="000000"/>
          <w:sz w:val="24"/>
          <w:szCs w:val="24"/>
          <w:lang w:val="fr-CA"/>
        </w:rPr>
        <w:t>Un partenariat public-privé (PPP) est une forme de privatisation qui n</w:t>
      </w:r>
      <w:r>
        <w:rPr>
          <w:rFonts w:eastAsia="Batang" w:cs="Arial"/>
          <w:color w:val="000000"/>
          <w:sz w:val="24"/>
          <w:szCs w:val="24"/>
          <w:lang w:val="fr-CA"/>
        </w:rPr>
        <w:t>’</w:t>
      </w:r>
      <w:r w:rsidRPr="00DC5073">
        <w:rPr>
          <w:rFonts w:eastAsia="Batang" w:cs="Arial"/>
          <w:color w:val="000000"/>
          <w:sz w:val="24"/>
          <w:szCs w:val="24"/>
          <w:lang w:val="fr-CA"/>
        </w:rPr>
        <w:t xml:space="preserve">a rien à voir avec un « partenariat ». </w:t>
      </w:r>
      <w:r>
        <w:rPr>
          <w:rFonts w:eastAsia="Batang" w:cs="Arial"/>
          <w:color w:val="000000"/>
          <w:sz w:val="24"/>
          <w:szCs w:val="24"/>
          <w:lang w:val="fr-CA"/>
        </w:rPr>
        <w:t>On associe aux</w:t>
      </w:r>
      <w:r w:rsidRPr="00DC5073">
        <w:rPr>
          <w:rFonts w:eastAsia="Batang" w:cs="Arial"/>
          <w:color w:val="000000"/>
          <w:sz w:val="24"/>
          <w:szCs w:val="24"/>
          <w:lang w:val="fr-CA"/>
        </w:rPr>
        <w:t xml:space="preserve"> PPP des coûts plus élevés, une baisse de la qualité, une perte de contrôle public et une réduction de l</w:t>
      </w:r>
      <w:r>
        <w:rPr>
          <w:rFonts w:eastAsia="Batang" w:cs="Arial"/>
          <w:color w:val="000000"/>
          <w:sz w:val="24"/>
          <w:szCs w:val="24"/>
          <w:lang w:val="fr-CA"/>
        </w:rPr>
        <w:t>’</w:t>
      </w:r>
      <w:r w:rsidRPr="00DC5073">
        <w:rPr>
          <w:rFonts w:eastAsia="Batang" w:cs="Arial"/>
          <w:color w:val="000000"/>
          <w:sz w:val="24"/>
          <w:szCs w:val="24"/>
          <w:lang w:val="fr-CA"/>
        </w:rPr>
        <w:t>offre de soins hospitaliers. Si le Canada maintient le cap sur son plan d</w:t>
      </w:r>
      <w:r>
        <w:rPr>
          <w:rFonts w:eastAsia="Batang" w:cs="Arial"/>
          <w:color w:val="000000"/>
          <w:sz w:val="24"/>
          <w:szCs w:val="24"/>
          <w:lang w:val="fr-CA"/>
        </w:rPr>
        <w:t>’</w:t>
      </w:r>
      <w:r w:rsidRPr="00DC5073">
        <w:rPr>
          <w:rFonts w:eastAsia="Batang" w:cs="Arial"/>
          <w:color w:val="000000"/>
          <w:sz w:val="24"/>
          <w:szCs w:val="24"/>
          <w:lang w:val="fr-CA"/>
        </w:rPr>
        <w:t xml:space="preserve">ouvrir 29 nouveaux hôpitaux en PPP en Ontario, en Colombie-Britannique, au Québec et au Nouveau-Brunswick, le présent rapport conclut que quelque 2,9 milliards de dollars en fonds gouvernementaux affectés aux hôpitaux </w:t>
      </w:r>
      <w:proofErr w:type="gramStart"/>
      <w:r>
        <w:rPr>
          <w:rFonts w:eastAsia="Batang" w:cs="Arial"/>
          <w:color w:val="000000"/>
          <w:sz w:val="24"/>
          <w:szCs w:val="24"/>
          <w:lang w:val="fr-CA"/>
        </w:rPr>
        <w:t>profiteront</w:t>
      </w:r>
      <w:proofErr w:type="gramEnd"/>
      <w:r>
        <w:rPr>
          <w:rFonts w:eastAsia="Batang" w:cs="Arial"/>
          <w:color w:val="000000"/>
          <w:sz w:val="24"/>
          <w:szCs w:val="24"/>
          <w:lang w:val="fr-CA"/>
        </w:rPr>
        <w:t xml:space="preserve"> à </w:t>
      </w:r>
      <w:r w:rsidRPr="00DC5073">
        <w:rPr>
          <w:rFonts w:eastAsia="Batang" w:cs="Arial"/>
          <w:color w:val="000000"/>
          <w:sz w:val="24"/>
          <w:szCs w:val="24"/>
          <w:lang w:val="fr-CA"/>
        </w:rPr>
        <w:t>de grands consortiums multinationaux. L</w:t>
      </w:r>
      <w:r w:rsidR="00E57C2F">
        <w:rPr>
          <w:rFonts w:eastAsia="Batang" w:cs="Arial"/>
          <w:color w:val="000000"/>
          <w:sz w:val="24"/>
          <w:szCs w:val="24"/>
          <w:lang w:val="fr-CA"/>
        </w:rPr>
        <w:t>e tableau</w:t>
      </w:r>
      <w:r>
        <w:rPr>
          <w:rFonts w:eastAsia="Batang" w:cs="Arial"/>
          <w:color w:val="000000"/>
          <w:sz w:val="24"/>
          <w:szCs w:val="24"/>
          <w:lang w:val="fr-CA"/>
        </w:rPr>
        <w:t xml:space="preserve"> suivant</w:t>
      </w:r>
      <w:r w:rsidRPr="00DC5073">
        <w:rPr>
          <w:rFonts w:eastAsia="Batang" w:cs="Arial"/>
          <w:color w:val="000000"/>
          <w:sz w:val="24"/>
          <w:szCs w:val="24"/>
          <w:lang w:val="fr-CA"/>
        </w:rPr>
        <w:t xml:space="preserve"> ne tient pas compte des pertes que continuent </w:t>
      </w:r>
      <w:r>
        <w:rPr>
          <w:rFonts w:eastAsia="Batang" w:cs="Arial"/>
          <w:color w:val="000000"/>
          <w:sz w:val="24"/>
          <w:szCs w:val="24"/>
          <w:lang w:val="fr-CA"/>
        </w:rPr>
        <w:t>d’encaisser</w:t>
      </w:r>
      <w:r w:rsidRPr="00DC5073">
        <w:rPr>
          <w:rFonts w:eastAsia="Batang" w:cs="Arial"/>
          <w:color w:val="000000"/>
          <w:sz w:val="24"/>
          <w:szCs w:val="24"/>
          <w:lang w:val="fr-CA"/>
        </w:rPr>
        <w:t xml:space="preserve"> les 18 hôpitaux en PPP en exploitation en Ontario, en Colombie-Britannique, au Québec et au Nouveau-Brunswick. Voir l</w:t>
      </w:r>
      <w:r>
        <w:rPr>
          <w:rFonts w:eastAsia="Batang" w:cs="Arial"/>
          <w:color w:val="000000"/>
          <w:sz w:val="24"/>
          <w:szCs w:val="24"/>
          <w:lang w:val="fr-CA"/>
        </w:rPr>
        <w:t>’</w:t>
      </w:r>
      <w:r w:rsidRPr="00DC5073">
        <w:rPr>
          <w:rFonts w:eastAsia="Batang" w:cs="Arial"/>
          <w:color w:val="000000"/>
          <w:sz w:val="24"/>
          <w:szCs w:val="24"/>
          <w:lang w:val="fr-CA"/>
        </w:rPr>
        <w:t>annexe A pour connaître la situation d</w:t>
      </w:r>
      <w:r>
        <w:rPr>
          <w:rFonts w:eastAsia="Batang" w:cs="Arial"/>
          <w:color w:val="000000"/>
          <w:sz w:val="24"/>
          <w:szCs w:val="24"/>
          <w:lang w:val="fr-CA"/>
        </w:rPr>
        <w:t xml:space="preserve">es </w:t>
      </w:r>
      <w:r w:rsidRPr="00DC5073">
        <w:rPr>
          <w:rFonts w:eastAsia="Batang" w:cs="Arial"/>
          <w:color w:val="000000"/>
          <w:sz w:val="24"/>
          <w:szCs w:val="24"/>
          <w:lang w:val="fr-CA"/>
        </w:rPr>
        <w:t>hôpitaux en PPP au Canada.</w:t>
      </w:r>
    </w:p>
    <w:p w:rsidR="00F95166" w:rsidRPr="00DC5073" w:rsidRDefault="00E57C2F" w:rsidP="00BC7C95">
      <w:pPr>
        <w:spacing w:after="0"/>
        <w:rPr>
          <w:rFonts w:eastAsia="Batang" w:cs="Arial"/>
          <w:color w:val="000000"/>
          <w:sz w:val="24"/>
          <w:szCs w:val="24"/>
          <w:lang w:val="fr-CA"/>
        </w:rPr>
      </w:pPr>
      <w:r>
        <w:rPr>
          <w:rFonts w:eastAsia="Batang" w:cs="Arial"/>
          <w:color w:val="000000"/>
          <w:sz w:val="24"/>
          <w:szCs w:val="24"/>
          <w:lang w:val="fr-CA"/>
        </w:rPr>
        <w:br w:type="page"/>
      </w:r>
    </w:p>
    <w:tbl>
      <w:tblPr>
        <w:tblW w:w="0" w:type="auto"/>
        <w:tblInd w:w="288"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A0"/>
      </w:tblPr>
      <w:tblGrid>
        <w:gridCol w:w="2904"/>
        <w:gridCol w:w="3192"/>
        <w:gridCol w:w="3192"/>
      </w:tblGrid>
      <w:tr w:rsidR="00F95166" w:rsidRPr="00131527" w:rsidTr="00DC1F07">
        <w:tc>
          <w:tcPr>
            <w:tcW w:w="2904" w:type="dxa"/>
            <w:shd w:val="clear" w:color="auto" w:fill="9E3A38"/>
          </w:tcPr>
          <w:p w:rsidR="00F95166" w:rsidRPr="00DC5073" w:rsidRDefault="00F95166" w:rsidP="00EA32E9">
            <w:pPr>
              <w:spacing w:after="0" w:line="240" w:lineRule="auto"/>
              <w:rPr>
                <w:rFonts w:eastAsia="Batang" w:cs="Arial"/>
                <w:b/>
                <w:bCs/>
                <w:color w:val="FFFFFF"/>
                <w:sz w:val="24"/>
                <w:szCs w:val="24"/>
                <w:lang w:val="fr-CA"/>
              </w:rPr>
            </w:pPr>
          </w:p>
          <w:p w:rsidR="00F95166" w:rsidRPr="00DC5073" w:rsidRDefault="00F95166" w:rsidP="00EA32E9">
            <w:pPr>
              <w:spacing w:after="0" w:line="240" w:lineRule="auto"/>
              <w:rPr>
                <w:rFonts w:eastAsia="Batang" w:cs="Arial"/>
                <w:b/>
                <w:bCs/>
                <w:color w:val="FFFFFF"/>
                <w:sz w:val="24"/>
                <w:szCs w:val="24"/>
                <w:lang w:val="fr-CA"/>
              </w:rPr>
            </w:pPr>
            <w:r w:rsidRPr="00DC5073">
              <w:rPr>
                <w:rFonts w:eastAsia="Batang" w:cs="Arial"/>
                <w:b/>
                <w:bCs/>
                <w:color w:val="FFFFFF"/>
                <w:sz w:val="24"/>
                <w:szCs w:val="24"/>
                <w:lang w:val="fr-CA"/>
              </w:rPr>
              <w:t>Province</w:t>
            </w:r>
          </w:p>
        </w:tc>
        <w:tc>
          <w:tcPr>
            <w:tcW w:w="3192" w:type="dxa"/>
            <w:shd w:val="clear" w:color="auto" w:fill="9E3A38"/>
          </w:tcPr>
          <w:p w:rsidR="00F95166" w:rsidRPr="00DC5073" w:rsidRDefault="00F95166" w:rsidP="00EA32E9">
            <w:pPr>
              <w:spacing w:after="0" w:line="240" w:lineRule="auto"/>
              <w:rPr>
                <w:rFonts w:eastAsia="Batang" w:cs="Arial"/>
                <w:b/>
                <w:bCs/>
                <w:color w:val="FFFFFF"/>
                <w:sz w:val="24"/>
                <w:szCs w:val="24"/>
                <w:lang w:val="fr-CA"/>
              </w:rPr>
            </w:pPr>
            <w:r w:rsidRPr="00DC5073">
              <w:rPr>
                <w:rFonts w:eastAsia="Batang" w:cs="Arial"/>
                <w:b/>
                <w:bCs/>
                <w:color w:val="FFFFFF"/>
                <w:sz w:val="24"/>
                <w:szCs w:val="24"/>
                <w:lang w:val="fr-CA"/>
              </w:rPr>
              <w:t>Hôpitaux en PPP en exploitation</w:t>
            </w:r>
          </w:p>
        </w:tc>
        <w:tc>
          <w:tcPr>
            <w:tcW w:w="3192" w:type="dxa"/>
            <w:shd w:val="clear" w:color="auto" w:fill="9E3A38"/>
          </w:tcPr>
          <w:p w:rsidR="00F95166" w:rsidRPr="00DC5073" w:rsidRDefault="00F95166" w:rsidP="00EA32E9">
            <w:pPr>
              <w:spacing w:after="0" w:line="240" w:lineRule="auto"/>
              <w:rPr>
                <w:rFonts w:eastAsia="Batang" w:cs="Arial"/>
                <w:b/>
                <w:bCs/>
                <w:color w:val="FFFFFF"/>
                <w:sz w:val="24"/>
                <w:szCs w:val="24"/>
                <w:lang w:val="fr-CA"/>
              </w:rPr>
            </w:pPr>
            <w:r w:rsidRPr="00DC5073">
              <w:rPr>
                <w:rFonts w:eastAsia="Batang" w:cs="Arial"/>
                <w:b/>
                <w:bCs/>
                <w:color w:val="FFFFFF"/>
                <w:sz w:val="24"/>
                <w:szCs w:val="24"/>
                <w:lang w:val="fr-CA"/>
              </w:rPr>
              <w:t>Hôpitaux en PPP en développement/construction</w:t>
            </w:r>
          </w:p>
        </w:tc>
      </w:tr>
      <w:tr w:rsidR="00F95166" w:rsidRPr="00DC5073" w:rsidTr="00DC1F07">
        <w:tc>
          <w:tcPr>
            <w:tcW w:w="2904" w:type="dxa"/>
            <w:shd w:val="clear" w:color="auto" w:fill="CCCCCC"/>
          </w:tcPr>
          <w:p w:rsidR="00F95166" w:rsidRPr="00DC5073" w:rsidRDefault="00F95166" w:rsidP="006410DA">
            <w:pPr>
              <w:rPr>
                <w:rFonts w:eastAsia="Batang" w:cs="Arial"/>
                <w:b/>
                <w:bCs/>
                <w:color w:val="000000"/>
                <w:sz w:val="24"/>
                <w:szCs w:val="24"/>
                <w:lang w:val="fr-CA"/>
              </w:rPr>
            </w:pPr>
            <w:r w:rsidRPr="00DC5073">
              <w:rPr>
                <w:rFonts w:eastAsia="Batang" w:cs="Arial"/>
                <w:b/>
                <w:bCs/>
                <w:color w:val="000000"/>
                <w:sz w:val="24"/>
                <w:szCs w:val="24"/>
                <w:lang w:val="fr-CA"/>
              </w:rPr>
              <w:t>Nouveau-Brunswick</w:t>
            </w:r>
          </w:p>
        </w:tc>
        <w:tc>
          <w:tcPr>
            <w:tcW w:w="3192" w:type="dxa"/>
            <w:shd w:val="clear" w:color="auto" w:fill="CCCCCC"/>
          </w:tcPr>
          <w:p w:rsidR="00F95166" w:rsidRPr="00DC5073" w:rsidRDefault="00F95166" w:rsidP="00EA32E9">
            <w:pPr>
              <w:jc w:val="center"/>
              <w:rPr>
                <w:rFonts w:eastAsia="Batang" w:cs="Arial"/>
                <w:color w:val="000000"/>
                <w:sz w:val="24"/>
                <w:szCs w:val="24"/>
                <w:lang w:val="fr-CA"/>
              </w:rPr>
            </w:pPr>
            <w:r w:rsidRPr="00DC5073">
              <w:rPr>
                <w:rFonts w:eastAsia="Batang" w:cs="Arial"/>
                <w:color w:val="000000"/>
                <w:sz w:val="24"/>
                <w:szCs w:val="24"/>
                <w:lang w:val="fr-CA"/>
              </w:rPr>
              <w:t>1</w:t>
            </w:r>
          </w:p>
        </w:tc>
        <w:tc>
          <w:tcPr>
            <w:tcW w:w="3192" w:type="dxa"/>
            <w:shd w:val="clear" w:color="auto" w:fill="CCCCCC"/>
          </w:tcPr>
          <w:p w:rsidR="00F95166" w:rsidRPr="00DC5073" w:rsidRDefault="00F95166" w:rsidP="00EA32E9">
            <w:pPr>
              <w:jc w:val="center"/>
              <w:rPr>
                <w:rFonts w:eastAsia="Batang" w:cs="Arial"/>
                <w:color w:val="000000"/>
                <w:sz w:val="24"/>
                <w:szCs w:val="24"/>
                <w:lang w:val="fr-CA"/>
              </w:rPr>
            </w:pPr>
            <w:r w:rsidRPr="00DC5073">
              <w:rPr>
                <w:rFonts w:eastAsia="Batang" w:cs="Arial"/>
                <w:color w:val="000000"/>
                <w:sz w:val="24"/>
                <w:szCs w:val="24"/>
                <w:lang w:val="fr-CA"/>
              </w:rPr>
              <w:t>1</w:t>
            </w:r>
          </w:p>
        </w:tc>
      </w:tr>
      <w:tr w:rsidR="00F95166" w:rsidRPr="00DC5073" w:rsidTr="00DC1F07">
        <w:tc>
          <w:tcPr>
            <w:tcW w:w="2904" w:type="dxa"/>
            <w:shd w:val="clear" w:color="auto" w:fill="E6E6E6"/>
          </w:tcPr>
          <w:p w:rsidR="00F95166" w:rsidRPr="00DC5073" w:rsidRDefault="00F95166" w:rsidP="006410DA">
            <w:pPr>
              <w:rPr>
                <w:rFonts w:eastAsia="Batang" w:cs="Arial"/>
                <w:b/>
                <w:bCs/>
                <w:color w:val="000000"/>
                <w:sz w:val="24"/>
                <w:szCs w:val="24"/>
                <w:lang w:val="fr-CA"/>
              </w:rPr>
            </w:pPr>
            <w:r w:rsidRPr="00DC5073">
              <w:rPr>
                <w:rFonts w:eastAsia="Batang" w:cs="Arial"/>
                <w:b/>
                <w:bCs/>
                <w:color w:val="000000"/>
                <w:sz w:val="24"/>
                <w:szCs w:val="24"/>
                <w:lang w:val="fr-CA"/>
              </w:rPr>
              <w:t>Québec</w:t>
            </w:r>
          </w:p>
        </w:tc>
        <w:tc>
          <w:tcPr>
            <w:tcW w:w="3192" w:type="dxa"/>
            <w:shd w:val="clear" w:color="auto" w:fill="E6E6E6"/>
          </w:tcPr>
          <w:p w:rsidR="00F95166" w:rsidRPr="00DC5073" w:rsidRDefault="00F95166" w:rsidP="00EA32E9">
            <w:pPr>
              <w:jc w:val="center"/>
              <w:rPr>
                <w:rFonts w:eastAsia="Batang" w:cs="Arial"/>
                <w:color w:val="000000"/>
                <w:sz w:val="24"/>
                <w:szCs w:val="24"/>
                <w:lang w:val="fr-CA"/>
              </w:rPr>
            </w:pPr>
            <w:r w:rsidRPr="00DC5073">
              <w:rPr>
                <w:rFonts w:eastAsia="Batang" w:cs="Arial"/>
                <w:color w:val="000000"/>
                <w:sz w:val="24"/>
                <w:szCs w:val="24"/>
                <w:lang w:val="fr-CA"/>
              </w:rPr>
              <w:t>0</w:t>
            </w:r>
          </w:p>
        </w:tc>
        <w:tc>
          <w:tcPr>
            <w:tcW w:w="3192" w:type="dxa"/>
            <w:shd w:val="clear" w:color="auto" w:fill="E6E6E6"/>
          </w:tcPr>
          <w:p w:rsidR="00F95166" w:rsidRPr="00DC5073" w:rsidRDefault="00F95166" w:rsidP="001E5570">
            <w:pPr>
              <w:jc w:val="center"/>
              <w:rPr>
                <w:rFonts w:eastAsia="Batang" w:cs="Arial"/>
                <w:color w:val="000000"/>
                <w:sz w:val="24"/>
                <w:szCs w:val="24"/>
                <w:lang w:val="fr-CA"/>
              </w:rPr>
            </w:pPr>
            <w:r w:rsidRPr="00DC5073">
              <w:rPr>
                <w:rFonts w:eastAsia="Batang" w:cs="Arial"/>
                <w:color w:val="000000"/>
                <w:sz w:val="24"/>
                <w:szCs w:val="24"/>
                <w:lang w:val="fr-CA"/>
              </w:rPr>
              <w:t>2</w:t>
            </w:r>
          </w:p>
        </w:tc>
      </w:tr>
      <w:tr w:rsidR="00F95166" w:rsidRPr="00DC5073" w:rsidTr="00DC1F07">
        <w:tc>
          <w:tcPr>
            <w:tcW w:w="2904" w:type="dxa"/>
            <w:shd w:val="clear" w:color="auto" w:fill="CCCCCC"/>
          </w:tcPr>
          <w:p w:rsidR="00F95166" w:rsidRPr="00DC5073" w:rsidRDefault="00F95166" w:rsidP="006410DA">
            <w:pPr>
              <w:rPr>
                <w:rFonts w:eastAsia="Batang" w:cs="Arial"/>
                <w:b/>
                <w:bCs/>
                <w:color w:val="000000"/>
                <w:sz w:val="24"/>
                <w:szCs w:val="24"/>
                <w:lang w:val="fr-CA"/>
              </w:rPr>
            </w:pPr>
            <w:r w:rsidRPr="00DC5073">
              <w:rPr>
                <w:rFonts w:eastAsia="Batang" w:cs="Arial"/>
                <w:b/>
                <w:bCs/>
                <w:color w:val="000000"/>
                <w:sz w:val="24"/>
                <w:szCs w:val="24"/>
                <w:lang w:val="fr-CA"/>
              </w:rPr>
              <w:t>Ontario</w:t>
            </w:r>
          </w:p>
        </w:tc>
        <w:tc>
          <w:tcPr>
            <w:tcW w:w="3192" w:type="dxa"/>
            <w:shd w:val="clear" w:color="auto" w:fill="CCCCCC"/>
          </w:tcPr>
          <w:p w:rsidR="00F95166" w:rsidRPr="00DC5073" w:rsidRDefault="00F95166" w:rsidP="001E5570">
            <w:pPr>
              <w:jc w:val="center"/>
              <w:rPr>
                <w:rFonts w:eastAsia="Batang" w:cs="Arial"/>
                <w:color w:val="000000"/>
                <w:sz w:val="24"/>
                <w:szCs w:val="24"/>
                <w:lang w:val="fr-CA"/>
              </w:rPr>
            </w:pPr>
            <w:r w:rsidRPr="00DC5073">
              <w:rPr>
                <w:rFonts w:eastAsia="Batang" w:cs="Arial"/>
                <w:color w:val="000000"/>
                <w:sz w:val="24"/>
                <w:szCs w:val="24"/>
                <w:lang w:val="fr-CA"/>
              </w:rPr>
              <w:t>14</w:t>
            </w:r>
          </w:p>
        </w:tc>
        <w:tc>
          <w:tcPr>
            <w:tcW w:w="3192" w:type="dxa"/>
            <w:shd w:val="clear" w:color="auto" w:fill="CCCCCC"/>
          </w:tcPr>
          <w:p w:rsidR="00F95166" w:rsidRPr="00DC5073" w:rsidRDefault="00F95166" w:rsidP="001E5570">
            <w:pPr>
              <w:jc w:val="center"/>
              <w:rPr>
                <w:rFonts w:eastAsia="Batang" w:cs="Arial"/>
                <w:color w:val="000000"/>
                <w:sz w:val="24"/>
                <w:szCs w:val="24"/>
                <w:lang w:val="fr-CA"/>
              </w:rPr>
            </w:pPr>
            <w:r w:rsidRPr="00DC5073">
              <w:rPr>
                <w:rFonts w:eastAsia="Batang" w:cs="Arial"/>
                <w:color w:val="000000"/>
                <w:sz w:val="24"/>
                <w:szCs w:val="24"/>
                <w:lang w:val="fr-CA"/>
              </w:rPr>
              <w:t>21</w:t>
            </w:r>
          </w:p>
        </w:tc>
      </w:tr>
      <w:tr w:rsidR="00F95166" w:rsidRPr="00DC5073" w:rsidTr="00DC1F07">
        <w:tc>
          <w:tcPr>
            <w:tcW w:w="2904" w:type="dxa"/>
            <w:shd w:val="clear" w:color="auto" w:fill="E6E6E6"/>
          </w:tcPr>
          <w:p w:rsidR="00F95166" w:rsidRPr="00DC5073" w:rsidRDefault="00F95166" w:rsidP="006410DA">
            <w:pPr>
              <w:rPr>
                <w:rFonts w:eastAsia="Batang" w:cs="Arial"/>
                <w:b/>
                <w:bCs/>
                <w:color w:val="000000"/>
                <w:sz w:val="24"/>
                <w:szCs w:val="24"/>
                <w:lang w:val="fr-CA"/>
              </w:rPr>
            </w:pPr>
            <w:r w:rsidRPr="00DC5073">
              <w:rPr>
                <w:rFonts w:eastAsia="Batang" w:cs="Arial"/>
                <w:b/>
                <w:bCs/>
                <w:color w:val="000000"/>
                <w:sz w:val="24"/>
                <w:szCs w:val="24"/>
                <w:lang w:val="fr-CA"/>
              </w:rPr>
              <w:t>Colombie-Britannique</w:t>
            </w:r>
          </w:p>
        </w:tc>
        <w:tc>
          <w:tcPr>
            <w:tcW w:w="3192" w:type="dxa"/>
            <w:shd w:val="clear" w:color="auto" w:fill="E6E6E6"/>
          </w:tcPr>
          <w:p w:rsidR="00F95166" w:rsidRPr="00DC5073" w:rsidRDefault="00F95166" w:rsidP="00EA32E9">
            <w:pPr>
              <w:jc w:val="center"/>
              <w:rPr>
                <w:rFonts w:eastAsia="Batang" w:cs="Arial"/>
                <w:color w:val="000000"/>
                <w:sz w:val="24"/>
                <w:szCs w:val="24"/>
                <w:lang w:val="fr-CA"/>
              </w:rPr>
            </w:pPr>
            <w:r w:rsidRPr="00DC5073">
              <w:rPr>
                <w:rFonts w:eastAsia="Batang" w:cs="Arial"/>
                <w:color w:val="000000"/>
                <w:sz w:val="24"/>
                <w:szCs w:val="24"/>
                <w:lang w:val="fr-CA"/>
              </w:rPr>
              <w:t>3</w:t>
            </w:r>
          </w:p>
        </w:tc>
        <w:tc>
          <w:tcPr>
            <w:tcW w:w="3192" w:type="dxa"/>
            <w:shd w:val="clear" w:color="auto" w:fill="E6E6E6"/>
          </w:tcPr>
          <w:p w:rsidR="00F95166" w:rsidRPr="00DC5073" w:rsidRDefault="00F95166" w:rsidP="00EA32E9">
            <w:pPr>
              <w:jc w:val="center"/>
              <w:rPr>
                <w:rFonts w:eastAsia="Batang" w:cs="Arial"/>
                <w:color w:val="000000"/>
                <w:sz w:val="24"/>
                <w:szCs w:val="24"/>
                <w:lang w:val="fr-CA"/>
              </w:rPr>
            </w:pPr>
            <w:r w:rsidRPr="00DC5073">
              <w:rPr>
                <w:rFonts w:eastAsia="Batang" w:cs="Arial"/>
                <w:color w:val="000000"/>
                <w:sz w:val="24"/>
                <w:szCs w:val="24"/>
                <w:lang w:val="fr-CA"/>
              </w:rPr>
              <w:t>5</w:t>
            </w:r>
          </w:p>
        </w:tc>
      </w:tr>
      <w:tr w:rsidR="00F95166" w:rsidRPr="00DC5073" w:rsidTr="00DC1F07">
        <w:tc>
          <w:tcPr>
            <w:tcW w:w="2904" w:type="dxa"/>
            <w:shd w:val="clear" w:color="auto" w:fill="CCCCCC"/>
          </w:tcPr>
          <w:p w:rsidR="00F95166" w:rsidRPr="00DC5073" w:rsidRDefault="00F95166" w:rsidP="006410DA">
            <w:pPr>
              <w:rPr>
                <w:rFonts w:eastAsia="Batang" w:cs="Arial"/>
                <w:b/>
                <w:bCs/>
                <w:color w:val="000000"/>
                <w:sz w:val="24"/>
                <w:szCs w:val="24"/>
                <w:lang w:val="fr-CA"/>
              </w:rPr>
            </w:pPr>
            <w:r w:rsidRPr="00DC5073">
              <w:rPr>
                <w:rFonts w:eastAsia="Batang" w:cs="Arial"/>
                <w:b/>
                <w:bCs/>
                <w:color w:val="000000"/>
                <w:sz w:val="24"/>
                <w:szCs w:val="24"/>
                <w:lang w:val="fr-CA"/>
              </w:rPr>
              <w:t>Total (Canada)</w:t>
            </w:r>
          </w:p>
        </w:tc>
        <w:tc>
          <w:tcPr>
            <w:tcW w:w="3192" w:type="dxa"/>
            <w:shd w:val="clear" w:color="auto" w:fill="CCCCCC"/>
          </w:tcPr>
          <w:p w:rsidR="00F95166" w:rsidRPr="00DC5073" w:rsidRDefault="00F95166" w:rsidP="001E5570">
            <w:pPr>
              <w:jc w:val="center"/>
              <w:rPr>
                <w:rFonts w:eastAsia="Batang" w:cs="Arial"/>
                <w:b/>
                <w:color w:val="000000"/>
                <w:sz w:val="24"/>
                <w:szCs w:val="24"/>
                <w:lang w:val="fr-CA"/>
              </w:rPr>
            </w:pPr>
            <w:r w:rsidRPr="00DC5073">
              <w:rPr>
                <w:rFonts w:eastAsia="Batang" w:cs="Arial"/>
                <w:b/>
                <w:color w:val="000000"/>
                <w:sz w:val="24"/>
                <w:szCs w:val="24"/>
                <w:lang w:val="fr-CA"/>
              </w:rPr>
              <w:t>18</w:t>
            </w:r>
          </w:p>
        </w:tc>
        <w:tc>
          <w:tcPr>
            <w:tcW w:w="3192" w:type="dxa"/>
            <w:shd w:val="clear" w:color="auto" w:fill="CCCCCC"/>
          </w:tcPr>
          <w:p w:rsidR="00F95166" w:rsidRPr="00DC5073" w:rsidRDefault="00F95166" w:rsidP="001E5570">
            <w:pPr>
              <w:jc w:val="center"/>
              <w:rPr>
                <w:rFonts w:eastAsia="Batang" w:cs="Arial"/>
                <w:b/>
                <w:color w:val="000000"/>
                <w:sz w:val="24"/>
                <w:szCs w:val="24"/>
                <w:lang w:val="fr-CA"/>
              </w:rPr>
            </w:pPr>
            <w:r w:rsidRPr="00DC5073">
              <w:rPr>
                <w:rFonts w:eastAsia="Batang" w:cs="Arial"/>
                <w:b/>
                <w:color w:val="000000"/>
                <w:sz w:val="24"/>
                <w:szCs w:val="24"/>
                <w:lang w:val="fr-CA"/>
              </w:rPr>
              <w:t>29</w:t>
            </w:r>
          </w:p>
        </w:tc>
      </w:tr>
    </w:tbl>
    <w:p w:rsidR="00F95166" w:rsidRPr="00DC5073" w:rsidRDefault="00F95166" w:rsidP="00E57C2F">
      <w:pPr>
        <w:spacing w:after="0"/>
        <w:rPr>
          <w:rFonts w:eastAsia="Batang" w:cs="Arial"/>
          <w:color w:val="000000"/>
          <w:sz w:val="24"/>
          <w:szCs w:val="24"/>
          <w:lang w:val="fr-CA"/>
        </w:rPr>
      </w:pPr>
    </w:p>
    <w:p w:rsidR="00F95166" w:rsidRPr="00E57C2F" w:rsidRDefault="00F95166" w:rsidP="00267617">
      <w:pPr>
        <w:rPr>
          <w:rFonts w:eastAsia="Batang" w:cs="Arial"/>
          <w:i/>
          <w:color w:val="000000"/>
          <w:sz w:val="24"/>
          <w:szCs w:val="24"/>
          <w:lang w:val="fr-CA"/>
        </w:rPr>
      </w:pPr>
      <w:r w:rsidRPr="00E57C2F">
        <w:rPr>
          <w:rFonts w:eastAsia="Batang" w:cs="Arial"/>
          <w:i/>
          <w:color w:val="000000"/>
          <w:sz w:val="24"/>
          <w:szCs w:val="24"/>
          <w:lang w:val="fr-CA"/>
        </w:rPr>
        <w:t>Pourquoi opter pour des hôpitaux publics?</w:t>
      </w:r>
    </w:p>
    <w:p w:rsidR="00F95166" w:rsidRPr="00DC5073" w:rsidRDefault="00F95166" w:rsidP="000335F0">
      <w:pPr>
        <w:jc w:val="both"/>
        <w:rPr>
          <w:rFonts w:eastAsia="Batang" w:cs="Arial"/>
          <w:color w:val="000000"/>
          <w:sz w:val="24"/>
          <w:szCs w:val="24"/>
          <w:lang w:val="fr-CA"/>
        </w:rPr>
      </w:pPr>
      <w:r w:rsidRPr="00DC5073">
        <w:rPr>
          <w:rFonts w:eastAsia="Batang" w:cs="Arial"/>
          <w:color w:val="000000"/>
          <w:sz w:val="24"/>
          <w:szCs w:val="24"/>
          <w:lang w:val="fr-CA"/>
        </w:rPr>
        <w:t>Le présent rapport est divisé en trois sections qui expliquent pourquoi les hôpitaux publics sont préférables aux hôpitaux en PPP à but lucratif. Chaque section se veut un « bloc sur les hôpitaux publics » qui démontre comment et pourquoi le modèle public convient mieux au milieu hospitalier. Le premier bloc porte sur le financement efficace d</w:t>
      </w:r>
      <w:r>
        <w:rPr>
          <w:rFonts w:eastAsia="Batang" w:cs="Arial"/>
          <w:color w:val="000000"/>
          <w:sz w:val="24"/>
          <w:szCs w:val="24"/>
          <w:lang w:val="fr-CA"/>
        </w:rPr>
        <w:t xml:space="preserve">es </w:t>
      </w:r>
      <w:r w:rsidRPr="00DC5073">
        <w:rPr>
          <w:rFonts w:eastAsia="Batang" w:cs="Arial"/>
          <w:color w:val="000000"/>
          <w:sz w:val="24"/>
          <w:szCs w:val="24"/>
          <w:lang w:val="fr-CA"/>
        </w:rPr>
        <w:t>hôpitaux publics. Le deuxième bloc concerne le manque de démocratie, de transparence et d</w:t>
      </w:r>
      <w:r>
        <w:rPr>
          <w:rFonts w:eastAsia="Batang" w:cs="Arial"/>
          <w:color w:val="000000"/>
          <w:sz w:val="24"/>
          <w:szCs w:val="24"/>
          <w:lang w:val="fr-CA"/>
        </w:rPr>
        <w:t>’</w:t>
      </w:r>
      <w:r w:rsidRPr="00DC5073">
        <w:rPr>
          <w:rFonts w:eastAsia="Batang" w:cs="Arial"/>
          <w:color w:val="000000"/>
          <w:sz w:val="24"/>
          <w:szCs w:val="24"/>
          <w:lang w:val="fr-CA"/>
        </w:rPr>
        <w:t>édification du pays qui caractérise le modèle des hôpitaux en PPP. Le troisième bloc décrit les problèmes de qualité et d</w:t>
      </w:r>
      <w:r>
        <w:rPr>
          <w:rFonts w:eastAsia="Batang" w:cs="Arial"/>
          <w:color w:val="000000"/>
          <w:sz w:val="24"/>
          <w:szCs w:val="24"/>
          <w:lang w:val="fr-CA"/>
        </w:rPr>
        <w:t>’</w:t>
      </w:r>
      <w:r w:rsidRPr="00DC5073">
        <w:rPr>
          <w:rFonts w:eastAsia="Batang" w:cs="Arial"/>
          <w:color w:val="000000"/>
          <w:sz w:val="24"/>
          <w:szCs w:val="24"/>
          <w:lang w:val="fr-CA"/>
        </w:rPr>
        <w:t>accessibilité inhérents aux hôpitaux en PPP.</w:t>
      </w:r>
    </w:p>
    <w:p w:rsidR="00F95166" w:rsidRPr="00DC5073" w:rsidRDefault="00F95166" w:rsidP="00267617">
      <w:pPr>
        <w:rPr>
          <w:rFonts w:eastAsia="Batang" w:cs="Arial"/>
          <w:color w:val="000000"/>
          <w:sz w:val="24"/>
          <w:szCs w:val="24"/>
          <w:u w:val="single"/>
          <w:lang w:val="fr-CA"/>
        </w:rPr>
      </w:pPr>
      <w:r w:rsidRPr="00DC5073">
        <w:rPr>
          <w:rFonts w:eastAsia="Batang" w:cs="Arial"/>
          <w:i/>
          <w:color w:val="000000"/>
          <w:sz w:val="24"/>
          <w:szCs w:val="24"/>
          <w:u w:val="single"/>
          <w:lang w:val="fr-CA"/>
        </w:rPr>
        <w:t>Premier bloc sur les hôpitaux publics </w:t>
      </w:r>
      <w:r w:rsidRPr="00DC5073">
        <w:rPr>
          <w:rFonts w:eastAsia="Batang" w:cs="Arial"/>
          <w:color w:val="000000"/>
          <w:sz w:val="24"/>
          <w:szCs w:val="24"/>
          <w:u w:val="single"/>
          <w:lang w:val="fr-CA"/>
        </w:rPr>
        <w:t xml:space="preserve">: </w:t>
      </w:r>
      <w:r w:rsidRPr="00DC5073">
        <w:rPr>
          <w:rFonts w:eastAsia="Batang" w:cs="Arial"/>
          <w:b/>
          <w:color w:val="000000"/>
          <w:sz w:val="24"/>
          <w:szCs w:val="24"/>
          <w:u w:val="single"/>
          <w:lang w:val="fr-CA"/>
        </w:rPr>
        <w:t>Le financement d</w:t>
      </w:r>
      <w:r>
        <w:rPr>
          <w:rFonts w:eastAsia="Batang" w:cs="Arial"/>
          <w:b/>
          <w:color w:val="000000"/>
          <w:sz w:val="24"/>
          <w:szCs w:val="24"/>
          <w:u w:val="single"/>
          <w:lang w:val="fr-CA"/>
        </w:rPr>
        <w:t>’</w:t>
      </w:r>
      <w:r w:rsidRPr="00DC5073">
        <w:rPr>
          <w:rFonts w:eastAsia="Batang" w:cs="Arial"/>
          <w:b/>
          <w:color w:val="000000"/>
          <w:sz w:val="24"/>
          <w:szCs w:val="24"/>
          <w:u w:val="single"/>
          <w:lang w:val="fr-CA"/>
        </w:rPr>
        <w:t>hôpitaux publics est plus efficace</w:t>
      </w:r>
    </w:p>
    <w:p w:rsidR="00F95166" w:rsidRPr="00DC5073" w:rsidRDefault="00F95166" w:rsidP="000335F0">
      <w:pPr>
        <w:spacing w:after="0"/>
        <w:jc w:val="both"/>
        <w:rPr>
          <w:rFonts w:eastAsia="Batang" w:cs="Arial"/>
          <w:color w:val="000000"/>
          <w:sz w:val="24"/>
          <w:szCs w:val="24"/>
          <w:lang w:val="fr-CA"/>
        </w:rPr>
      </w:pPr>
      <w:r w:rsidRPr="00DC5073">
        <w:rPr>
          <w:rFonts w:eastAsia="Batang" w:cs="Arial"/>
          <w:color w:val="000000"/>
          <w:sz w:val="24"/>
          <w:szCs w:val="24"/>
          <w:lang w:val="fr-CA"/>
        </w:rPr>
        <w:t>Le bénéfice dégagé par un hôpital en PPP profite à des sociétés multinationales tandis que ce sont les contribuables qui sont appelés à payer pour les frais administratifs non budgétés</w:t>
      </w:r>
      <w:r>
        <w:rPr>
          <w:rFonts w:eastAsia="Batang" w:cs="Arial"/>
          <w:color w:val="000000"/>
          <w:sz w:val="24"/>
          <w:szCs w:val="24"/>
          <w:lang w:val="fr-CA"/>
        </w:rPr>
        <w:t xml:space="preserve"> (excédentaires)</w:t>
      </w:r>
      <w:r w:rsidRPr="00DC5073">
        <w:rPr>
          <w:rFonts w:eastAsia="Batang" w:cs="Arial"/>
          <w:color w:val="000000"/>
          <w:sz w:val="24"/>
          <w:szCs w:val="24"/>
          <w:lang w:val="fr-CA"/>
        </w:rPr>
        <w:t>. Le</w:t>
      </w:r>
      <w:r>
        <w:rPr>
          <w:rFonts w:eastAsia="Batang" w:cs="Arial"/>
          <w:color w:val="000000"/>
          <w:sz w:val="24"/>
          <w:szCs w:val="24"/>
          <w:lang w:val="fr-CA"/>
        </w:rPr>
        <w:t xml:space="preserve"> modèle d’exploitation et de financement de</w:t>
      </w:r>
      <w:r w:rsidRPr="00DC5073">
        <w:rPr>
          <w:rFonts w:eastAsia="Batang" w:cs="Arial"/>
          <w:color w:val="000000"/>
          <w:sz w:val="24"/>
          <w:szCs w:val="24"/>
          <w:lang w:val="fr-CA"/>
        </w:rPr>
        <w:t xml:space="preserve">s hôpitaux publics </w:t>
      </w:r>
      <w:r>
        <w:rPr>
          <w:rFonts w:eastAsia="Batang" w:cs="Arial"/>
          <w:color w:val="000000"/>
          <w:sz w:val="24"/>
          <w:szCs w:val="24"/>
          <w:lang w:val="fr-CA"/>
        </w:rPr>
        <w:t>en est un à but non lucratif</w:t>
      </w:r>
      <w:r w:rsidRPr="00DC5073">
        <w:rPr>
          <w:rFonts w:eastAsia="Batang" w:cs="Arial"/>
          <w:color w:val="000000"/>
          <w:sz w:val="24"/>
          <w:szCs w:val="24"/>
          <w:lang w:val="fr-CA"/>
        </w:rPr>
        <w:t xml:space="preserve">. Au Canada, les gouvernements peuvent contracter des emprunts publics à des taux beaucoup plus avantageux que ceux auxquels les consortiums privés </w:t>
      </w:r>
      <w:r>
        <w:rPr>
          <w:rFonts w:eastAsia="Batang" w:cs="Arial"/>
          <w:color w:val="000000"/>
          <w:sz w:val="24"/>
          <w:szCs w:val="24"/>
          <w:lang w:val="fr-CA"/>
        </w:rPr>
        <w:t xml:space="preserve">qui gèrent les </w:t>
      </w:r>
      <w:r w:rsidRPr="00DC5073">
        <w:rPr>
          <w:rFonts w:eastAsia="Batang" w:cs="Arial"/>
          <w:color w:val="000000"/>
          <w:sz w:val="24"/>
          <w:szCs w:val="24"/>
          <w:lang w:val="fr-CA"/>
        </w:rPr>
        <w:t xml:space="preserve">hôpitaux en PPP ont accès. </w:t>
      </w:r>
      <w:r>
        <w:rPr>
          <w:rFonts w:eastAsia="Batang" w:cs="Arial"/>
          <w:color w:val="000000"/>
          <w:sz w:val="24"/>
          <w:szCs w:val="24"/>
          <w:lang w:val="fr-CA"/>
        </w:rPr>
        <w:t>Au niveau fédéral, l</w:t>
      </w:r>
      <w:r w:rsidRPr="00DC5073">
        <w:rPr>
          <w:rFonts w:eastAsia="Batang" w:cs="Arial"/>
          <w:color w:val="000000"/>
          <w:sz w:val="24"/>
          <w:szCs w:val="24"/>
          <w:lang w:val="fr-CA"/>
        </w:rPr>
        <w:t xml:space="preserve">e gouvernement du Canada devrait participer </w:t>
      </w:r>
      <w:r>
        <w:rPr>
          <w:rFonts w:eastAsia="Batang" w:cs="Arial"/>
          <w:color w:val="000000"/>
          <w:sz w:val="24"/>
          <w:szCs w:val="24"/>
          <w:lang w:val="fr-CA"/>
        </w:rPr>
        <w:t>à la réfection d</w:t>
      </w:r>
      <w:r w:rsidRPr="00DC5073">
        <w:rPr>
          <w:rFonts w:eastAsia="Batang" w:cs="Arial"/>
          <w:color w:val="000000"/>
          <w:sz w:val="24"/>
          <w:szCs w:val="24"/>
          <w:lang w:val="fr-CA"/>
        </w:rPr>
        <w:t>es hôpitaux publics, notamment en émettant</w:t>
      </w:r>
      <w:r>
        <w:rPr>
          <w:rFonts w:eastAsia="Batang" w:cs="Arial"/>
          <w:color w:val="000000"/>
          <w:sz w:val="24"/>
          <w:szCs w:val="24"/>
          <w:lang w:val="fr-CA"/>
        </w:rPr>
        <w:t xml:space="preserve"> des obligations pour financer leur</w:t>
      </w:r>
      <w:r w:rsidRPr="00DC5073">
        <w:rPr>
          <w:rFonts w:eastAsia="Batang" w:cs="Arial"/>
          <w:color w:val="000000"/>
          <w:sz w:val="24"/>
          <w:szCs w:val="24"/>
          <w:lang w:val="fr-CA"/>
        </w:rPr>
        <w:t xml:space="preserve"> renouvellement.</w:t>
      </w:r>
    </w:p>
    <w:p w:rsidR="00F95166" w:rsidRPr="00DC5073" w:rsidRDefault="00F95166" w:rsidP="000335F0">
      <w:pPr>
        <w:spacing w:after="0"/>
        <w:jc w:val="both"/>
        <w:rPr>
          <w:rFonts w:eastAsia="Batang" w:cs="Arial"/>
          <w:color w:val="000000"/>
          <w:sz w:val="24"/>
          <w:szCs w:val="24"/>
          <w:lang w:val="fr-CA"/>
        </w:rPr>
      </w:pPr>
    </w:p>
    <w:p w:rsidR="00F95166" w:rsidRPr="00DC5073" w:rsidRDefault="00F95166" w:rsidP="00267617">
      <w:pPr>
        <w:rPr>
          <w:rFonts w:eastAsia="Batang" w:cs="Arial"/>
          <w:b/>
          <w:color w:val="000000"/>
          <w:sz w:val="24"/>
          <w:szCs w:val="24"/>
          <w:u w:val="single"/>
          <w:lang w:val="fr-CA"/>
        </w:rPr>
      </w:pPr>
      <w:r w:rsidRPr="00DC5073">
        <w:rPr>
          <w:rFonts w:eastAsia="Batang" w:cs="Arial"/>
          <w:i/>
          <w:color w:val="000000"/>
          <w:sz w:val="24"/>
          <w:szCs w:val="24"/>
          <w:u w:val="single"/>
          <w:lang w:val="fr-CA"/>
        </w:rPr>
        <w:t>Deuxième bloc sur les hôpitaux publics </w:t>
      </w:r>
      <w:r w:rsidRPr="00DC5073">
        <w:rPr>
          <w:rFonts w:eastAsia="Batang" w:cs="Arial"/>
          <w:color w:val="000000"/>
          <w:sz w:val="24"/>
          <w:szCs w:val="24"/>
          <w:u w:val="single"/>
          <w:lang w:val="fr-CA"/>
        </w:rPr>
        <w:t xml:space="preserve">: </w:t>
      </w:r>
      <w:r w:rsidRPr="00DC5073">
        <w:rPr>
          <w:rFonts w:eastAsia="Batang" w:cs="Arial"/>
          <w:b/>
          <w:color w:val="000000"/>
          <w:sz w:val="24"/>
          <w:szCs w:val="24"/>
          <w:u w:val="single"/>
          <w:lang w:val="fr-CA"/>
        </w:rPr>
        <w:t>Les hôpitaux publics sont plus démocratique</w:t>
      </w:r>
      <w:r w:rsidR="00E57C2F">
        <w:rPr>
          <w:rFonts w:eastAsia="Batang" w:cs="Arial"/>
          <w:b/>
          <w:color w:val="000000"/>
          <w:sz w:val="24"/>
          <w:szCs w:val="24"/>
          <w:u w:val="single"/>
          <w:lang w:val="fr-CA"/>
        </w:rPr>
        <w:t>s</w:t>
      </w:r>
      <w:r w:rsidRPr="00DC5073">
        <w:rPr>
          <w:rFonts w:eastAsia="Batang" w:cs="Arial"/>
          <w:b/>
          <w:color w:val="000000"/>
          <w:sz w:val="24"/>
          <w:szCs w:val="24"/>
          <w:u w:val="single"/>
          <w:lang w:val="fr-CA"/>
        </w:rPr>
        <w:t xml:space="preserve"> et </w:t>
      </w:r>
      <w:r>
        <w:rPr>
          <w:rFonts w:eastAsia="Batang" w:cs="Arial"/>
          <w:b/>
          <w:color w:val="000000"/>
          <w:sz w:val="24"/>
          <w:szCs w:val="24"/>
          <w:u w:val="single"/>
          <w:lang w:val="fr-CA"/>
        </w:rPr>
        <w:t>contribuent au développement du</w:t>
      </w:r>
      <w:r w:rsidRPr="00DC5073">
        <w:rPr>
          <w:rFonts w:eastAsia="Batang" w:cs="Arial"/>
          <w:b/>
          <w:color w:val="000000"/>
          <w:sz w:val="24"/>
          <w:szCs w:val="24"/>
          <w:u w:val="single"/>
          <w:lang w:val="fr-CA"/>
        </w:rPr>
        <w:t xml:space="preserve"> Canada</w:t>
      </w:r>
    </w:p>
    <w:p w:rsidR="00F95166" w:rsidRPr="00DC5073" w:rsidRDefault="00F95166" w:rsidP="000335F0">
      <w:pPr>
        <w:jc w:val="both"/>
        <w:rPr>
          <w:rFonts w:eastAsia="Batang" w:cs="Arial"/>
          <w:color w:val="000000"/>
          <w:sz w:val="24"/>
          <w:szCs w:val="24"/>
          <w:lang w:val="fr-CA"/>
        </w:rPr>
      </w:pPr>
      <w:r w:rsidRPr="00DC5073">
        <w:rPr>
          <w:rFonts w:eastAsia="Batang" w:cs="Arial"/>
          <w:color w:val="000000"/>
          <w:sz w:val="24"/>
          <w:szCs w:val="24"/>
          <w:lang w:val="fr-CA"/>
        </w:rPr>
        <w:t>Au bout du compte, les hôpitaux publics relèvent des politiciens élus. Si le système d</w:t>
      </w:r>
      <w:r>
        <w:rPr>
          <w:rFonts w:eastAsia="Batang" w:cs="Arial"/>
          <w:color w:val="000000"/>
          <w:sz w:val="24"/>
          <w:szCs w:val="24"/>
          <w:lang w:val="fr-CA"/>
        </w:rPr>
        <w:t>’</w:t>
      </w:r>
      <w:r w:rsidRPr="00DC5073">
        <w:rPr>
          <w:rFonts w:eastAsia="Batang" w:cs="Arial"/>
          <w:color w:val="000000"/>
          <w:sz w:val="24"/>
          <w:szCs w:val="24"/>
          <w:lang w:val="fr-CA"/>
        </w:rPr>
        <w:t xml:space="preserve">hôpitaux privés échoue, les Canadiens ont la possibilité de remplacer leurs élus </w:t>
      </w:r>
      <w:r>
        <w:rPr>
          <w:rFonts w:eastAsia="Batang" w:cs="Arial"/>
          <w:color w:val="000000"/>
          <w:sz w:val="24"/>
          <w:szCs w:val="24"/>
          <w:lang w:val="fr-CA"/>
        </w:rPr>
        <w:t>grâce a</w:t>
      </w:r>
      <w:r w:rsidRPr="00DC5073">
        <w:rPr>
          <w:rFonts w:eastAsia="Batang" w:cs="Arial"/>
          <w:color w:val="000000"/>
          <w:sz w:val="24"/>
          <w:szCs w:val="24"/>
          <w:lang w:val="fr-CA"/>
        </w:rPr>
        <w:t>u processus électoral. L</w:t>
      </w:r>
      <w:r>
        <w:rPr>
          <w:rFonts w:eastAsia="Batang" w:cs="Arial"/>
          <w:color w:val="000000"/>
          <w:sz w:val="24"/>
          <w:szCs w:val="24"/>
          <w:lang w:val="fr-CA"/>
        </w:rPr>
        <w:t>’</w:t>
      </w:r>
      <w:r w:rsidRPr="00DC5073">
        <w:rPr>
          <w:rFonts w:eastAsia="Batang" w:cs="Arial"/>
          <w:color w:val="000000"/>
          <w:sz w:val="24"/>
          <w:szCs w:val="24"/>
          <w:lang w:val="fr-CA"/>
        </w:rPr>
        <w:t>exploitation d</w:t>
      </w:r>
      <w:r>
        <w:rPr>
          <w:rFonts w:eastAsia="Batang" w:cs="Arial"/>
          <w:color w:val="000000"/>
          <w:sz w:val="24"/>
          <w:szCs w:val="24"/>
          <w:lang w:val="fr-CA"/>
        </w:rPr>
        <w:t>’</w:t>
      </w:r>
      <w:r w:rsidRPr="00DC5073">
        <w:rPr>
          <w:rFonts w:eastAsia="Batang" w:cs="Arial"/>
          <w:color w:val="000000"/>
          <w:sz w:val="24"/>
          <w:szCs w:val="24"/>
          <w:lang w:val="fr-CA"/>
        </w:rPr>
        <w:t>hôpitaux en PPP n</w:t>
      </w:r>
      <w:r>
        <w:rPr>
          <w:rFonts w:eastAsia="Batang" w:cs="Arial"/>
          <w:color w:val="000000"/>
          <w:sz w:val="24"/>
          <w:szCs w:val="24"/>
          <w:lang w:val="fr-CA"/>
        </w:rPr>
        <w:t>’</w:t>
      </w:r>
      <w:r w:rsidRPr="00DC5073">
        <w:rPr>
          <w:rFonts w:eastAsia="Batang" w:cs="Arial"/>
          <w:color w:val="000000"/>
          <w:sz w:val="24"/>
          <w:szCs w:val="24"/>
          <w:lang w:val="fr-CA"/>
        </w:rPr>
        <w:t xml:space="preserve">est pas </w:t>
      </w:r>
      <w:proofErr w:type="gramStart"/>
      <w:r w:rsidRPr="00DC5073">
        <w:rPr>
          <w:rFonts w:eastAsia="Batang" w:cs="Arial"/>
          <w:color w:val="000000"/>
          <w:sz w:val="24"/>
          <w:szCs w:val="24"/>
          <w:lang w:val="fr-CA"/>
        </w:rPr>
        <w:t>démocratique</w:t>
      </w:r>
      <w:proofErr w:type="gramEnd"/>
      <w:r w:rsidRPr="00DC5073">
        <w:rPr>
          <w:rFonts w:eastAsia="Batang" w:cs="Arial"/>
          <w:color w:val="000000"/>
          <w:sz w:val="24"/>
          <w:szCs w:val="24"/>
          <w:lang w:val="fr-CA"/>
        </w:rPr>
        <w:t xml:space="preserve">; souvent, ces hôpitaux sont exploités en </w:t>
      </w:r>
      <w:r>
        <w:rPr>
          <w:rFonts w:eastAsia="Batang" w:cs="Arial"/>
          <w:color w:val="000000"/>
          <w:sz w:val="24"/>
          <w:szCs w:val="24"/>
          <w:lang w:val="fr-CA"/>
        </w:rPr>
        <w:t xml:space="preserve">vertu de contrats </w:t>
      </w:r>
      <w:r w:rsidRPr="00DC5073">
        <w:rPr>
          <w:rFonts w:eastAsia="Batang" w:cs="Arial"/>
          <w:color w:val="000000"/>
          <w:sz w:val="24"/>
          <w:szCs w:val="24"/>
          <w:lang w:val="fr-CA"/>
        </w:rPr>
        <w:t>secret</w:t>
      </w:r>
      <w:r>
        <w:rPr>
          <w:rFonts w:eastAsia="Batang" w:cs="Arial"/>
          <w:color w:val="000000"/>
          <w:sz w:val="24"/>
          <w:szCs w:val="24"/>
          <w:lang w:val="fr-CA"/>
        </w:rPr>
        <w:t xml:space="preserve">s d’une durée de 30 ans ou plus et échappent à tout </w:t>
      </w:r>
      <w:r w:rsidRPr="00DC5073">
        <w:rPr>
          <w:rFonts w:eastAsia="Batang" w:cs="Arial"/>
          <w:color w:val="000000"/>
          <w:sz w:val="24"/>
          <w:szCs w:val="24"/>
          <w:lang w:val="fr-CA"/>
        </w:rPr>
        <w:t xml:space="preserve">examen </w:t>
      </w:r>
      <w:r>
        <w:rPr>
          <w:rFonts w:eastAsia="Batang" w:cs="Arial"/>
          <w:color w:val="000000"/>
          <w:sz w:val="24"/>
          <w:szCs w:val="24"/>
          <w:lang w:val="fr-CA"/>
        </w:rPr>
        <w:t xml:space="preserve">du </w:t>
      </w:r>
      <w:r w:rsidRPr="00DC5073">
        <w:rPr>
          <w:rFonts w:eastAsia="Batang" w:cs="Arial"/>
          <w:color w:val="000000"/>
          <w:sz w:val="24"/>
          <w:szCs w:val="24"/>
          <w:lang w:val="fr-CA"/>
        </w:rPr>
        <w:t xml:space="preserve">public. Il y a lieu </w:t>
      </w:r>
      <w:r>
        <w:rPr>
          <w:rFonts w:eastAsia="Batang" w:cs="Arial"/>
          <w:color w:val="000000"/>
          <w:sz w:val="24"/>
          <w:szCs w:val="24"/>
          <w:lang w:val="fr-CA"/>
        </w:rPr>
        <w:t>pour</w:t>
      </w:r>
      <w:r w:rsidRPr="00DC5073">
        <w:rPr>
          <w:rFonts w:eastAsia="Batang" w:cs="Arial"/>
          <w:color w:val="000000"/>
          <w:sz w:val="24"/>
          <w:szCs w:val="24"/>
          <w:lang w:val="fr-CA"/>
        </w:rPr>
        <w:t xml:space="preserve"> les vérificateurs généraux </w:t>
      </w:r>
      <w:r>
        <w:rPr>
          <w:rFonts w:eastAsia="Batang" w:cs="Arial"/>
          <w:color w:val="000000"/>
          <w:sz w:val="24"/>
          <w:szCs w:val="24"/>
          <w:lang w:val="fr-CA"/>
        </w:rPr>
        <w:t>d’</w:t>
      </w:r>
      <w:r w:rsidRPr="00DC5073">
        <w:rPr>
          <w:rFonts w:eastAsia="Batang" w:cs="Arial"/>
          <w:color w:val="000000"/>
          <w:sz w:val="24"/>
          <w:szCs w:val="24"/>
          <w:lang w:val="fr-CA"/>
        </w:rPr>
        <w:t>enquête</w:t>
      </w:r>
      <w:r>
        <w:rPr>
          <w:rFonts w:eastAsia="Batang" w:cs="Arial"/>
          <w:color w:val="000000"/>
          <w:sz w:val="24"/>
          <w:szCs w:val="24"/>
          <w:lang w:val="fr-CA"/>
        </w:rPr>
        <w:t xml:space="preserve">r </w:t>
      </w:r>
      <w:r w:rsidRPr="00DC5073">
        <w:rPr>
          <w:rFonts w:eastAsia="Batang" w:cs="Arial"/>
          <w:color w:val="000000"/>
          <w:sz w:val="24"/>
          <w:szCs w:val="24"/>
          <w:lang w:val="fr-CA"/>
        </w:rPr>
        <w:t>sur tous les hôpitaux en PPP au Canada.</w:t>
      </w:r>
    </w:p>
    <w:p w:rsidR="00F95166" w:rsidRPr="00DC5073" w:rsidRDefault="00F95166" w:rsidP="000A578E">
      <w:pPr>
        <w:spacing w:after="0"/>
        <w:jc w:val="both"/>
        <w:rPr>
          <w:rFonts w:eastAsia="Batang" w:cs="Arial"/>
          <w:color w:val="000000"/>
          <w:sz w:val="24"/>
          <w:szCs w:val="24"/>
          <w:lang w:val="fr-CA"/>
        </w:rPr>
      </w:pPr>
      <w:r w:rsidRPr="00DC5073">
        <w:rPr>
          <w:rFonts w:eastAsia="Batang" w:cs="Arial"/>
          <w:color w:val="000000"/>
          <w:sz w:val="24"/>
          <w:szCs w:val="24"/>
          <w:lang w:val="fr-CA"/>
        </w:rPr>
        <w:t>Les hôpitaux publics emploient des travailleurs de l</w:t>
      </w:r>
      <w:r>
        <w:rPr>
          <w:rFonts w:eastAsia="Batang" w:cs="Arial"/>
          <w:color w:val="000000"/>
          <w:sz w:val="24"/>
          <w:szCs w:val="24"/>
          <w:lang w:val="fr-CA"/>
        </w:rPr>
        <w:t>’</w:t>
      </w:r>
      <w:r w:rsidRPr="00DC5073">
        <w:rPr>
          <w:rFonts w:eastAsia="Batang" w:cs="Arial"/>
          <w:color w:val="000000"/>
          <w:sz w:val="24"/>
          <w:szCs w:val="24"/>
          <w:lang w:val="fr-CA"/>
        </w:rPr>
        <w:t>industrie de la construction et du personnel hospitalier qui habitent la région immédiate. Le financement public des soins de santé peut contribuer à créer de bons emplois publics et ainsi assurer une qualité élevée des soins prodigués par les hôpitaux publics. Souvent, les hôpitaux en PPP ont recours à de grandes sociétés multinationales qui nuisent à l</w:t>
      </w:r>
      <w:r>
        <w:rPr>
          <w:rFonts w:eastAsia="Batang" w:cs="Arial"/>
          <w:color w:val="000000"/>
          <w:sz w:val="24"/>
          <w:szCs w:val="24"/>
          <w:lang w:val="fr-CA"/>
        </w:rPr>
        <w:t>’</w:t>
      </w:r>
      <w:r w:rsidRPr="00DC5073">
        <w:rPr>
          <w:rFonts w:eastAsia="Batang" w:cs="Arial"/>
          <w:color w:val="000000"/>
          <w:sz w:val="24"/>
          <w:szCs w:val="24"/>
          <w:lang w:val="fr-CA"/>
        </w:rPr>
        <w:t>industrie locale de la construction. L</w:t>
      </w:r>
      <w:r>
        <w:rPr>
          <w:rFonts w:eastAsia="Batang" w:cs="Arial"/>
          <w:color w:val="000000"/>
          <w:sz w:val="24"/>
          <w:szCs w:val="24"/>
          <w:lang w:val="fr-CA"/>
        </w:rPr>
        <w:t>’</w:t>
      </w:r>
      <w:r w:rsidRPr="00DC5073">
        <w:rPr>
          <w:rFonts w:eastAsia="Batang" w:cs="Arial"/>
          <w:color w:val="000000"/>
          <w:sz w:val="24"/>
          <w:szCs w:val="24"/>
          <w:lang w:val="fr-CA"/>
        </w:rPr>
        <w:t>argent public sert à générer des profits et à éliminer des déficits administratifs plutôt qu</w:t>
      </w:r>
      <w:r>
        <w:rPr>
          <w:rFonts w:eastAsia="Batang" w:cs="Arial"/>
          <w:color w:val="000000"/>
          <w:sz w:val="24"/>
          <w:szCs w:val="24"/>
          <w:lang w:val="fr-CA"/>
        </w:rPr>
        <w:t>’</w:t>
      </w:r>
      <w:r w:rsidRPr="00DC5073">
        <w:rPr>
          <w:rFonts w:eastAsia="Batang" w:cs="Arial"/>
          <w:color w:val="000000"/>
          <w:sz w:val="24"/>
          <w:szCs w:val="24"/>
          <w:lang w:val="fr-CA"/>
        </w:rPr>
        <w:t>à prodiguer des soins hospitaliers. À mesure que les hôpitaux en PPP siphonnent des fonds publics alloués aux soins de santé de la région, des emplois locaux en milieu hospitalier sont éliminés.</w:t>
      </w:r>
    </w:p>
    <w:p w:rsidR="00F95166" w:rsidRPr="00DC5073" w:rsidRDefault="00F95166" w:rsidP="000A578E">
      <w:pPr>
        <w:spacing w:after="0"/>
        <w:rPr>
          <w:rFonts w:eastAsia="Batang" w:cs="Arial"/>
          <w:color w:val="000000"/>
          <w:sz w:val="24"/>
          <w:szCs w:val="24"/>
          <w:lang w:val="fr-CA"/>
        </w:rPr>
      </w:pPr>
    </w:p>
    <w:p w:rsidR="00F95166" w:rsidRPr="00DC5073" w:rsidRDefault="00F95166" w:rsidP="00267617">
      <w:pPr>
        <w:rPr>
          <w:rFonts w:eastAsia="Batang" w:cs="Arial"/>
          <w:b/>
          <w:color w:val="000000"/>
          <w:sz w:val="24"/>
          <w:szCs w:val="24"/>
          <w:u w:val="single"/>
          <w:lang w:val="fr-CA"/>
        </w:rPr>
      </w:pPr>
      <w:r w:rsidRPr="00DC5073">
        <w:rPr>
          <w:rFonts w:eastAsia="Batang" w:cs="Arial"/>
          <w:i/>
          <w:color w:val="000000"/>
          <w:sz w:val="24"/>
          <w:szCs w:val="24"/>
          <w:u w:val="single"/>
          <w:lang w:val="fr-CA"/>
        </w:rPr>
        <w:t>Troisième bloc sur les hôpitaux publics </w:t>
      </w:r>
      <w:r w:rsidRPr="00DC5073">
        <w:rPr>
          <w:rFonts w:eastAsia="Batang" w:cs="Arial"/>
          <w:color w:val="000000"/>
          <w:sz w:val="24"/>
          <w:szCs w:val="24"/>
          <w:u w:val="single"/>
          <w:lang w:val="fr-CA"/>
        </w:rPr>
        <w:t xml:space="preserve">: </w:t>
      </w:r>
      <w:r w:rsidRPr="00DC5073">
        <w:rPr>
          <w:rFonts w:eastAsia="Batang" w:cs="Arial"/>
          <w:b/>
          <w:color w:val="000000"/>
          <w:sz w:val="24"/>
          <w:szCs w:val="24"/>
          <w:u w:val="single"/>
          <w:lang w:val="fr-CA"/>
        </w:rPr>
        <w:t>Les hôpitaux publics sans but lucratif offrent des soins de qualité et sont accessibles</w:t>
      </w:r>
    </w:p>
    <w:p w:rsidR="00F95166" w:rsidRPr="00DC5073" w:rsidRDefault="00F95166" w:rsidP="000335F0">
      <w:pPr>
        <w:jc w:val="both"/>
        <w:rPr>
          <w:rFonts w:eastAsia="Batang" w:cs="Arial"/>
          <w:color w:val="000000"/>
          <w:sz w:val="24"/>
          <w:szCs w:val="24"/>
          <w:lang w:val="fr-CA"/>
        </w:rPr>
      </w:pPr>
      <w:r w:rsidRPr="00DC5073">
        <w:rPr>
          <w:rFonts w:eastAsia="Batang" w:cs="Arial"/>
          <w:color w:val="000000"/>
          <w:sz w:val="24"/>
          <w:szCs w:val="24"/>
          <w:lang w:val="fr-CA"/>
        </w:rPr>
        <w:t>Les hôpitaux en PPP accaparent une bonne part des budgets provinciaux de la santé. Il peut en résulter que le nombre total de lits d</w:t>
      </w:r>
      <w:r>
        <w:rPr>
          <w:rFonts w:eastAsia="Batang" w:cs="Arial"/>
          <w:color w:val="000000"/>
          <w:sz w:val="24"/>
          <w:szCs w:val="24"/>
          <w:lang w:val="fr-CA"/>
        </w:rPr>
        <w:t>’</w:t>
      </w:r>
      <w:r w:rsidRPr="00DC5073">
        <w:rPr>
          <w:rFonts w:eastAsia="Batang" w:cs="Arial"/>
          <w:color w:val="000000"/>
          <w:sz w:val="24"/>
          <w:szCs w:val="24"/>
          <w:lang w:val="fr-CA"/>
        </w:rPr>
        <w:t xml:space="preserve">hôpital baisse, </w:t>
      </w:r>
      <w:r>
        <w:rPr>
          <w:rFonts w:eastAsia="Batang" w:cs="Arial"/>
          <w:color w:val="000000"/>
          <w:sz w:val="24"/>
          <w:szCs w:val="24"/>
          <w:lang w:val="fr-CA"/>
        </w:rPr>
        <w:t>minant</w:t>
      </w:r>
      <w:r w:rsidRPr="00DC5073">
        <w:rPr>
          <w:rFonts w:eastAsia="Batang" w:cs="Arial"/>
          <w:color w:val="000000"/>
          <w:sz w:val="24"/>
          <w:szCs w:val="24"/>
          <w:lang w:val="fr-CA"/>
        </w:rPr>
        <w:t xml:space="preserve"> ainsi l</w:t>
      </w:r>
      <w:r>
        <w:rPr>
          <w:rFonts w:eastAsia="Batang" w:cs="Arial"/>
          <w:color w:val="000000"/>
          <w:sz w:val="24"/>
          <w:szCs w:val="24"/>
          <w:lang w:val="fr-CA"/>
        </w:rPr>
        <w:t>’</w:t>
      </w:r>
      <w:r w:rsidRPr="00DC5073">
        <w:rPr>
          <w:rFonts w:eastAsia="Batang" w:cs="Arial"/>
          <w:color w:val="000000"/>
          <w:sz w:val="24"/>
          <w:szCs w:val="24"/>
          <w:lang w:val="fr-CA"/>
        </w:rPr>
        <w:t xml:space="preserve">accès </w:t>
      </w:r>
      <w:r>
        <w:rPr>
          <w:rFonts w:eastAsia="Batang" w:cs="Arial"/>
          <w:color w:val="000000"/>
          <w:sz w:val="24"/>
          <w:szCs w:val="24"/>
          <w:lang w:val="fr-CA"/>
        </w:rPr>
        <w:t>aux</w:t>
      </w:r>
      <w:r w:rsidRPr="00DC5073">
        <w:rPr>
          <w:rFonts w:eastAsia="Batang" w:cs="Arial"/>
          <w:color w:val="000000"/>
          <w:sz w:val="24"/>
          <w:szCs w:val="24"/>
          <w:lang w:val="fr-CA"/>
        </w:rPr>
        <w:t xml:space="preserve"> soins hospitalier</w:t>
      </w:r>
      <w:r>
        <w:rPr>
          <w:rFonts w:eastAsia="Batang" w:cs="Arial"/>
          <w:color w:val="000000"/>
          <w:sz w:val="24"/>
          <w:szCs w:val="24"/>
          <w:lang w:val="fr-CA"/>
        </w:rPr>
        <w:t>s</w:t>
      </w:r>
      <w:r w:rsidRPr="00DC5073">
        <w:rPr>
          <w:rFonts w:eastAsia="Batang" w:cs="Arial"/>
          <w:color w:val="000000"/>
          <w:sz w:val="24"/>
          <w:szCs w:val="24"/>
          <w:lang w:val="fr-CA"/>
        </w:rPr>
        <w:t>. La construction d</w:t>
      </w:r>
      <w:r>
        <w:rPr>
          <w:rFonts w:eastAsia="Batang" w:cs="Arial"/>
          <w:color w:val="000000"/>
          <w:sz w:val="24"/>
          <w:szCs w:val="24"/>
          <w:lang w:val="fr-CA"/>
        </w:rPr>
        <w:t>’</w:t>
      </w:r>
      <w:r w:rsidRPr="00DC5073">
        <w:rPr>
          <w:rFonts w:eastAsia="Batang" w:cs="Arial"/>
          <w:color w:val="000000"/>
          <w:sz w:val="24"/>
          <w:szCs w:val="24"/>
          <w:lang w:val="fr-CA"/>
        </w:rPr>
        <w:t xml:space="preserve">un plus grand </w:t>
      </w:r>
      <w:r>
        <w:rPr>
          <w:rFonts w:eastAsia="Batang" w:cs="Arial"/>
          <w:color w:val="000000"/>
          <w:sz w:val="24"/>
          <w:szCs w:val="24"/>
          <w:lang w:val="fr-CA"/>
        </w:rPr>
        <w:t xml:space="preserve">nombre </w:t>
      </w:r>
      <w:r w:rsidRPr="00DC5073">
        <w:rPr>
          <w:rFonts w:eastAsia="Batang" w:cs="Arial"/>
          <w:color w:val="000000"/>
          <w:sz w:val="24"/>
          <w:szCs w:val="24"/>
          <w:lang w:val="fr-CA"/>
        </w:rPr>
        <w:t>d</w:t>
      </w:r>
      <w:r>
        <w:rPr>
          <w:rFonts w:eastAsia="Batang" w:cs="Arial"/>
          <w:color w:val="000000"/>
          <w:sz w:val="24"/>
          <w:szCs w:val="24"/>
          <w:lang w:val="fr-CA"/>
        </w:rPr>
        <w:t>’</w:t>
      </w:r>
      <w:r w:rsidRPr="00DC5073">
        <w:rPr>
          <w:rFonts w:eastAsia="Batang" w:cs="Arial"/>
          <w:color w:val="000000"/>
          <w:sz w:val="24"/>
          <w:szCs w:val="24"/>
          <w:lang w:val="fr-CA"/>
        </w:rPr>
        <w:t xml:space="preserve">hôpitaux régionaux en PPP peut mener à la fermeture de plus petits hôpitaux publics en milieu rural. Le modèle des hôpitaux en PPP peut </w:t>
      </w:r>
      <w:r>
        <w:rPr>
          <w:rFonts w:eastAsia="Batang" w:cs="Arial"/>
          <w:color w:val="000000"/>
          <w:sz w:val="24"/>
          <w:szCs w:val="24"/>
          <w:lang w:val="fr-CA"/>
        </w:rPr>
        <w:t>obliger</w:t>
      </w:r>
      <w:r w:rsidRPr="00DC5073">
        <w:rPr>
          <w:rFonts w:eastAsia="Batang" w:cs="Arial"/>
          <w:color w:val="000000"/>
          <w:sz w:val="24"/>
          <w:szCs w:val="24"/>
          <w:lang w:val="fr-CA"/>
        </w:rPr>
        <w:t xml:space="preserve"> les patients et les familles des r</w:t>
      </w:r>
      <w:r>
        <w:rPr>
          <w:rFonts w:eastAsia="Batang" w:cs="Arial"/>
          <w:color w:val="000000"/>
          <w:sz w:val="24"/>
          <w:szCs w:val="24"/>
          <w:lang w:val="fr-CA"/>
        </w:rPr>
        <w:t>uralités de</w:t>
      </w:r>
      <w:r w:rsidRPr="00DC5073">
        <w:rPr>
          <w:rFonts w:eastAsia="Batang" w:cs="Arial"/>
          <w:color w:val="000000"/>
          <w:sz w:val="24"/>
          <w:szCs w:val="24"/>
          <w:lang w:val="fr-CA"/>
        </w:rPr>
        <w:t xml:space="preserve"> se déplacer sur de plus </w:t>
      </w:r>
      <w:r>
        <w:rPr>
          <w:rFonts w:eastAsia="Batang" w:cs="Arial"/>
          <w:color w:val="000000"/>
          <w:sz w:val="24"/>
          <w:szCs w:val="24"/>
          <w:lang w:val="fr-CA"/>
        </w:rPr>
        <w:t>longues</w:t>
      </w:r>
      <w:r w:rsidRPr="00DC5073">
        <w:rPr>
          <w:rFonts w:eastAsia="Batang" w:cs="Arial"/>
          <w:color w:val="000000"/>
          <w:sz w:val="24"/>
          <w:szCs w:val="24"/>
          <w:lang w:val="fr-CA"/>
        </w:rPr>
        <w:t xml:space="preserve"> distances. Dans certaines régions, la construction d</w:t>
      </w:r>
      <w:r>
        <w:rPr>
          <w:rFonts w:eastAsia="Batang" w:cs="Arial"/>
          <w:color w:val="000000"/>
          <w:sz w:val="24"/>
          <w:szCs w:val="24"/>
          <w:lang w:val="fr-CA"/>
        </w:rPr>
        <w:t>’</w:t>
      </w:r>
      <w:r w:rsidRPr="00DC5073">
        <w:rPr>
          <w:rFonts w:eastAsia="Batang" w:cs="Arial"/>
          <w:color w:val="000000"/>
          <w:sz w:val="24"/>
          <w:szCs w:val="24"/>
          <w:lang w:val="fr-CA"/>
        </w:rPr>
        <w:t>hôpitaux en PPP mène à une baisse de l</w:t>
      </w:r>
      <w:r>
        <w:rPr>
          <w:rFonts w:eastAsia="Batang" w:cs="Arial"/>
          <w:color w:val="000000"/>
          <w:sz w:val="24"/>
          <w:szCs w:val="24"/>
          <w:lang w:val="fr-CA"/>
        </w:rPr>
        <w:t>’</w:t>
      </w:r>
      <w:r w:rsidRPr="00DC5073">
        <w:rPr>
          <w:rFonts w:eastAsia="Batang" w:cs="Arial"/>
          <w:color w:val="000000"/>
          <w:sz w:val="24"/>
          <w:szCs w:val="24"/>
          <w:lang w:val="fr-CA"/>
        </w:rPr>
        <w:t xml:space="preserve">indice lit/population. Aussi, il arrive souvent que les hôpitaux en PPP ouvrent leurs portes bien après </w:t>
      </w:r>
      <w:r>
        <w:rPr>
          <w:rFonts w:eastAsia="Batang" w:cs="Arial"/>
          <w:color w:val="000000"/>
          <w:sz w:val="24"/>
          <w:szCs w:val="24"/>
          <w:lang w:val="fr-CA"/>
        </w:rPr>
        <w:t>l’achèvement des travaux de</w:t>
      </w:r>
      <w:r w:rsidRPr="00DC5073">
        <w:rPr>
          <w:rFonts w:eastAsia="Batang" w:cs="Arial"/>
          <w:color w:val="000000"/>
          <w:sz w:val="24"/>
          <w:szCs w:val="24"/>
          <w:lang w:val="fr-CA"/>
        </w:rPr>
        <w:t xml:space="preserve"> construction. Voir l</w:t>
      </w:r>
      <w:r>
        <w:rPr>
          <w:rFonts w:eastAsia="Batang" w:cs="Arial"/>
          <w:color w:val="000000"/>
          <w:sz w:val="24"/>
          <w:szCs w:val="24"/>
          <w:lang w:val="fr-CA"/>
        </w:rPr>
        <w:t>’</w:t>
      </w:r>
      <w:r w:rsidRPr="00DC5073">
        <w:rPr>
          <w:rFonts w:eastAsia="Batang" w:cs="Arial"/>
          <w:color w:val="000000"/>
          <w:sz w:val="24"/>
          <w:szCs w:val="24"/>
          <w:lang w:val="fr-CA"/>
        </w:rPr>
        <w:t>annexe B pour connaître le nombre de lits dans certains hôpitaux en PPP au Canada et le nombre de fermetures de petits hôpitaux publics – contribuant à des pertes d</w:t>
      </w:r>
      <w:r>
        <w:rPr>
          <w:rFonts w:eastAsia="Batang" w:cs="Arial"/>
          <w:color w:val="000000"/>
          <w:sz w:val="24"/>
          <w:szCs w:val="24"/>
          <w:lang w:val="fr-CA"/>
        </w:rPr>
        <w:t>’</w:t>
      </w:r>
      <w:r w:rsidRPr="00DC5073">
        <w:rPr>
          <w:rFonts w:eastAsia="Batang" w:cs="Arial"/>
          <w:color w:val="000000"/>
          <w:sz w:val="24"/>
          <w:szCs w:val="24"/>
          <w:lang w:val="fr-CA"/>
        </w:rPr>
        <w:t>emplois dans le milieu hospitalier.</w:t>
      </w:r>
    </w:p>
    <w:p w:rsidR="00F95166" w:rsidRPr="00DC5073" w:rsidRDefault="00F95166" w:rsidP="000A578E">
      <w:pPr>
        <w:spacing w:after="0"/>
        <w:jc w:val="both"/>
        <w:rPr>
          <w:rFonts w:eastAsia="Batang" w:cs="Arial"/>
          <w:sz w:val="24"/>
          <w:szCs w:val="24"/>
          <w:lang w:val="fr-CA"/>
        </w:rPr>
      </w:pPr>
      <w:r>
        <w:rPr>
          <w:rFonts w:eastAsia="Batang" w:cs="Arial"/>
          <w:color w:val="000000"/>
          <w:sz w:val="24"/>
          <w:szCs w:val="24"/>
          <w:lang w:val="fr-CA"/>
        </w:rPr>
        <w:t xml:space="preserve">Dans le milieu hospitalier, le mode PPP </w:t>
      </w:r>
      <w:r w:rsidRPr="00DC5073">
        <w:rPr>
          <w:rFonts w:eastAsia="Batang" w:cs="Arial"/>
          <w:color w:val="000000"/>
          <w:sz w:val="24"/>
          <w:szCs w:val="24"/>
          <w:lang w:val="fr-CA"/>
        </w:rPr>
        <w:t>peut réduire la qualité des soins hospitaliers. Aux États-Unis, où les hôpitaux privés à but lucratif sont florissants, les soins hospitaliers ont été jugés de qualit</w:t>
      </w:r>
      <w:r>
        <w:rPr>
          <w:rFonts w:eastAsia="Batang" w:cs="Arial"/>
          <w:color w:val="000000"/>
          <w:sz w:val="24"/>
          <w:szCs w:val="24"/>
          <w:lang w:val="fr-CA"/>
        </w:rPr>
        <w:t>é médiocre</w:t>
      </w:r>
      <w:r w:rsidRPr="00DC5073">
        <w:rPr>
          <w:rFonts w:eastAsia="Batang" w:cs="Arial"/>
          <w:color w:val="000000"/>
          <w:sz w:val="24"/>
          <w:szCs w:val="24"/>
          <w:lang w:val="fr-CA"/>
        </w:rPr>
        <w:t xml:space="preserve">. </w:t>
      </w:r>
      <w:r>
        <w:rPr>
          <w:rFonts w:eastAsia="Batang" w:cs="Arial"/>
          <w:color w:val="000000"/>
          <w:sz w:val="24"/>
          <w:szCs w:val="24"/>
          <w:lang w:val="fr-CA"/>
        </w:rPr>
        <w:t>Des</w:t>
      </w:r>
      <w:r w:rsidRPr="00DC5073">
        <w:rPr>
          <w:rFonts w:eastAsia="Batang" w:cs="Arial"/>
          <w:color w:val="000000"/>
          <w:sz w:val="24"/>
          <w:szCs w:val="24"/>
          <w:lang w:val="fr-CA"/>
        </w:rPr>
        <w:t xml:space="preserve"> données recueillies sur une période de 20 ans et 149 études sur les soins privés (à but lucratif) et publics (sans but lucratif) aux États-Unis </w:t>
      </w:r>
      <w:r>
        <w:rPr>
          <w:rFonts w:eastAsia="Batang" w:cs="Arial"/>
          <w:color w:val="000000"/>
          <w:sz w:val="24"/>
          <w:szCs w:val="24"/>
          <w:lang w:val="fr-CA"/>
        </w:rPr>
        <w:t>ont fait l’objet d’un examen. Il appert q</w:t>
      </w:r>
      <w:r w:rsidRPr="00DC5073">
        <w:rPr>
          <w:rFonts w:eastAsia="Batang" w:cs="Arial"/>
          <w:color w:val="000000"/>
          <w:sz w:val="24"/>
          <w:szCs w:val="24"/>
          <w:lang w:val="fr-CA"/>
        </w:rPr>
        <w:t>u</w:t>
      </w:r>
      <w:r>
        <w:rPr>
          <w:rFonts w:eastAsia="Batang" w:cs="Arial"/>
          <w:color w:val="000000"/>
          <w:sz w:val="24"/>
          <w:szCs w:val="24"/>
          <w:lang w:val="fr-CA"/>
        </w:rPr>
        <w:t>’</w:t>
      </w:r>
      <w:r w:rsidRPr="00DC5073">
        <w:rPr>
          <w:rFonts w:eastAsia="Batang" w:cs="Arial"/>
          <w:color w:val="000000"/>
          <w:sz w:val="24"/>
          <w:szCs w:val="24"/>
          <w:lang w:val="fr-CA"/>
        </w:rPr>
        <w:t>une majorité de</w:t>
      </w:r>
      <w:r>
        <w:rPr>
          <w:rFonts w:eastAsia="Batang" w:cs="Arial"/>
          <w:color w:val="000000"/>
          <w:sz w:val="24"/>
          <w:szCs w:val="24"/>
          <w:lang w:val="fr-CA"/>
        </w:rPr>
        <w:t xml:space="preserve"> ce</w:t>
      </w:r>
      <w:r w:rsidRPr="00DC5073">
        <w:rPr>
          <w:rFonts w:eastAsia="Batang" w:cs="Arial"/>
          <w:color w:val="000000"/>
          <w:sz w:val="24"/>
          <w:szCs w:val="24"/>
          <w:lang w:val="fr-CA"/>
        </w:rPr>
        <w:t>s études (88</w:t>
      </w:r>
      <w:r>
        <w:rPr>
          <w:rFonts w:eastAsia="Batang" w:cs="Arial"/>
          <w:color w:val="000000"/>
          <w:sz w:val="24"/>
          <w:szCs w:val="24"/>
          <w:lang w:val="fr-CA"/>
        </w:rPr>
        <w:t xml:space="preserve"> au total</w:t>
      </w:r>
      <w:r w:rsidRPr="00DC5073">
        <w:rPr>
          <w:rFonts w:eastAsia="Batang" w:cs="Arial"/>
          <w:color w:val="000000"/>
          <w:sz w:val="24"/>
          <w:szCs w:val="24"/>
          <w:lang w:val="fr-CA"/>
        </w:rPr>
        <w:t>) sont arrivées à la conclusion que les soins de santé sans but lucratif étaient prodigués plus efficacement</w:t>
      </w:r>
      <w:r w:rsidRPr="00DC5073">
        <w:rPr>
          <w:rFonts w:eastAsia="Batang" w:cs="Arial"/>
          <w:sz w:val="24"/>
          <w:szCs w:val="24"/>
          <w:lang w:val="fr-CA"/>
        </w:rPr>
        <w:t>.</w:t>
      </w:r>
      <w:r w:rsidRPr="00DC5073">
        <w:rPr>
          <w:rStyle w:val="EndnoteReference"/>
          <w:rFonts w:eastAsia="Batang" w:cs="Arial"/>
          <w:sz w:val="24"/>
          <w:szCs w:val="24"/>
          <w:lang w:val="fr-CA"/>
        </w:rPr>
        <w:endnoteReference w:id="13"/>
      </w:r>
      <w:r w:rsidRPr="00DC5073">
        <w:rPr>
          <w:rFonts w:eastAsia="Batang" w:cs="Arial"/>
          <w:sz w:val="24"/>
          <w:szCs w:val="24"/>
          <w:lang w:val="fr-CA"/>
        </w:rPr>
        <w:t xml:space="preserve"> Les hôpitaux en PPP fonctionnent selon un modèle similaire </w:t>
      </w:r>
      <w:r>
        <w:rPr>
          <w:rFonts w:eastAsia="Batang" w:cs="Arial"/>
          <w:sz w:val="24"/>
          <w:szCs w:val="24"/>
          <w:lang w:val="fr-CA"/>
        </w:rPr>
        <w:t xml:space="preserve">à celui utilisé pour exploiter les </w:t>
      </w:r>
      <w:r w:rsidRPr="00DC5073">
        <w:rPr>
          <w:rFonts w:eastAsia="Batang" w:cs="Arial"/>
          <w:sz w:val="24"/>
          <w:szCs w:val="24"/>
          <w:lang w:val="fr-CA"/>
        </w:rPr>
        <w:t>hôpitaux à but lucratif. Les constructeurs et les architectes ne consultent pas le personnel qui prodigue les soins hospitaliers, ce qui mine la qualité des soins et fait entrave à l</w:t>
      </w:r>
      <w:r>
        <w:rPr>
          <w:rFonts w:eastAsia="Batang" w:cs="Arial"/>
          <w:sz w:val="24"/>
          <w:szCs w:val="24"/>
          <w:lang w:val="fr-CA"/>
        </w:rPr>
        <w:t>’</w:t>
      </w:r>
      <w:r w:rsidRPr="00DC5073">
        <w:rPr>
          <w:rFonts w:eastAsia="Batang" w:cs="Arial"/>
          <w:sz w:val="24"/>
          <w:szCs w:val="24"/>
          <w:lang w:val="fr-CA"/>
        </w:rPr>
        <w:t>innovation</w:t>
      </w:r>
      <w:r w:rsidRPr="00DC5073">
        <w:rPr>
          <w:rFonts w:eastAsia="Batang" w:cs="Arial"/>
          <w:color w:val="000000"/>
          <w:sz w:val="24"/>
          <w:szCs w:val="24"/>
          <w:lang w:val="fr-CA"/>
        </w:rPr>
        <w:t>. Les conditions de travail dans les hôpitaux à but lucratif sont souvent peu avantageuses, ce qui nuit davantage à la qualité des soins – surtout lorsque le taux de roulement du personnel est élevé. L</w:t>
      </w:r>
      <w:r>
        <w:rPr>
          <w:rFonts w:eastAsia="Batang" w:cs="Arial"/>
          <w:color w:val="000000"/>
          <w:sz w:val="24"/>
          <w:szCs w:val="24"/>
          <w:lang w:val="fr-CA"/>
        </w:rPr>
        <w:t>’</w:t>
      </w:r>
      <w:r w:rsidRPr="00DC5073">
        <w:rPr>
          <w:rFonts w:eastAsia="Batang" w:cs="Arial"/>
          <w:color w:val="000000"/>
          <w:sz w:val="24"/>
          <w:szCs w:val="24"/>
          <w:lang w:val="fr-CA"/>
        </w:rPr>
        <w:t>embauche d</w:t>
      </w:r>
      <w:r>
        <w:rPr>
          <w:rFonts w:eastAsia="Batang" w:cs="Arial"/>
          <w:color w:val="000000"/>
          <w:sz w:val="24"/>
          <w:szCs w:val="24"/>
          <w:lang w:val="fr-CA"/>
        </w:rPr>
        <w:t>’</w:t>
      </w:r>
      <w:r w:rsidRPr="00DC5073">
        <w:rPr>
          <w:rFonts w:eastAsia="Batang" w:cs="Arial"/>
          <w:color w:val="000000"/>
          <w:sz w:val="24"/>
          <w:szCs w:val="24"/>
          <w:lang w:val="fr-CA"/>
        </w:rPr>
        <w:t>un nombre insuffisant de préposés à l</w:t>
      </w:r>
      <w:r>
        <w:rPr>
          <w:rFonts w:eastAsia="Batang" w:cs="Arial"/>
          <w:color w:val="000000"/>
          <w:sz w:val="24"/>
          <w:szCs w:val="24"/>
          <w:lang w:val="fr-CA"/>
        </w:rPr>
        <w:t>’</w:t>
      </w:r>
      <w:r w:rsidRPr="00DC5073">
        <w:rPr>
          <w:rFonts w:eastAsia="Batang" w:cs="Arial"/>
          <w:color w:val="000000"/>
          <w:sz w:val="24"/>
          <w:szCs w:val="24"/>
          <w:lang w:val="fr-CA"/>
        </w:rPr>
        <w:t xml:space="preserve">entretien ménager par les hôpitaux en PPP peut mener à des problèmes de salubrité dans les </w:t>
      </w:r>
      <w:r>
        <w:rPr>
          <w:rFonts w:eastAsia="Batang" w:cs="Arial"/>
          <w:color w:val="000000"/>
          <w:sz w:val="24"/>
          <w:szCs w:val="24"/>
          <w:lang w:val="fr-CA"/>
        </w:rPr>
        <w:t>unités hospitalières</w:t>
      </w:r>
      <w:r w:rsidRPr="00DC5073">
        <w:rPr>
          <w:rFonts w:eastAsia="Batang" w:cs="Arial"/>
          <w:color w:val="000000"/>
          <w:sz w:val="24"/>
          <w:szCs w:val="24"/>
          <w:lang w:val="fr-CA"/>
        </w:rPr>
        <w:t xml:space="preserve">. Or un nettoyage selon des normes </w:t>
      </w:r>
      <w:r>
        <w:rPr>
          <w:rFonts w:eastAsia="Batang" w:cs="Arial"/>
          <w:color w:val="000000"/>
          <w:sz w:val="24"/>
          <w:szCs w:val="24"/>
          <w:lang w:val="fr-CA"/>
        </w:rPr>
        <w:t>rigoureuses</w:t>
      </w:r>
      <w:r w:rsidRPr="00DC5073">
        <w:rPr>
          <w:rFonts w:eastAsia="Batang" w:cs="Arial"/>
          <w:color w:val="000000"/>
          <w:sz w:val="24"/>
          <w:szCs w:val="24"/>
          <w:lang w:val="fr-CA"/>
        </w:rPr>
        <w:t xml:space="preserve"> est </w:t>
      </w:r>
      <w:r>
        <w:rPr>
          <w:rFonts w:eastAsia="Batang" w:cs="Arial"/>
          <w:color w:val="000000"/>
          <w:sz w:val="24"/>
          <w:szCs w:val="24"/>
          <w:lang w:val="fr-CA"/>
        </w:rPr>
        <w:t>d’une importance capitale pour prévenir</w:t>
      </w:r>
      <w:r w:rsidRPr="00DC5073">
        <w:rPr>
          <w:rFonts w:eastAsia="Batang" w:cs="Arial"/>
          <w:color w:val="000000"/>
          <w:sz w:val="24"/>
          <w:szCs w:val="24"/>
          <w:lang w:val="fr-CA"/>
        </w:rPr>
        <w:t xml:space="preserve"> des infections.</w:t>
      </w:r>
    </w:p>
    <w:p w:rsidR="00F95166" w:rsidRPr="00DC5073" w:rsidRDefault="00F95166" w:rsidP="000A578E">
      <w:pPr>
        <w:spacing w:after="0"/>
        <w:rPr>
          <w:rFonts w:eastAsia="Batang" w:cs="Arial"/>
          <w:color w:val="000000"/>
          <w:sz w:val="24"/>
          <w:szCs w:val="24"/>
          <w:lang w:val="fr-CA"/>
        </w:rPr>
      </w:pPr>
    </w:p>
    <w:p w:rsidR="00F95166" w:rsidRPr="002D27F5" w:rsidRDefault="00F95166" w:rsidP="00267617">
      <w:pPr>
        <w:rPr>
          <w:rFonts w:eastAsia="Batang" w:cs="Arial"/>
          <w:i/>
          <w:color w:val="000000"/>
          <w:sz w:val="24"/>
          <w:szCs w:val="24"/>
          <w:lang w:val="fr-CA"/>
        </w:rPr>
      </w:pPr>
      <w:r w:rsidRPr="002D27F5">
        <w:rPr>
          <w:rFonts w:eastAsia="Batang" w:cs="Arial"/>
          <w:i/>
          <w:color w:val="000000"/>
          <w:sz w:val="24"/>
          <w:szCs w:val="24"/>
          <w:lang w:val="fr-CA"/>
        </w:rPr>
        <w:t>Recommandations</w:t>
      </w:r>
    </w:p>
    <w:p w:rsidR="00F95166" w:rsidRPr="00DC5073" w:rsidRDefault="00F95166" w:rsidP="002D27F5">
      <w:pPr>
        <w:jc w:val="both"/>
        <w:rPr>
          <w:rFonts w:eastAsia="Batang" w:cs="Arial"/>
          <w:color w:val="000000"/>
          <w:sz w:val="24"/>
          <w:szCs w:val="24"/>
          <w:lang w:val="fr-CA"/>
        </w:rPr>
      </w:pPr>
      <w:r w:rsidRPr="00DC5073">
        <w:rPr>
          <w:rFonts w:eastAsia="Batang" w:cs="Arial"/>
          <w:color w:val="000000"/>
          <w:sz w:val="24"/>
          <w:szCs w:val="24"/>
          <w:lang w:val="fr-CA"/>
        </w:rPr>
        <w:t xml:space="preserve">Les hôpitaux en PPP sont exploités en vertu de contrats secrets de trop longue durée. Ils gaspillent de précieux fonds alloués aux soins de santé, ce qui peut avoir des conséquences préjudiciables sur les patients et la société canadienne. Nos gouvernements </w:t>
      </w:r>
      <w:proofErr w:type="gramStart"/>
      <w:r w:rsidRPr="00DC5073">
        <w:rPr>
          <w:rFonts w:eastAsia="Batang" w:cs="Arial"/>
          <w:color w:val="000000"/>
          <w:sz w:val="24"/>
          <w:szCs w:val="24"/>
          <w:lang w:val="fr-CA"/>
        </w:rPr>
        <w:t>fédéral</w:t>
      </w:r>
      <w:proofErr w:type="gramEnd"/>
      <w:r w:rsidRPr="00DC5073">
        <w:rPr>
          <w:rFonts w:eastAsia="Batang" w:cs="Arial"/>
          <w:color w:val="000000"/>
          <w:sz w:val="24"/>
          <w:szCs w:val="24"/>
          <w:lang w:val="fr-CA"/>
        </w:rPr>
        <w:t xml:space="preserve"> et provinciaux doivent réitérer leur engagement envers l</w:t>
      </w:r>
      <w:r>
        <w:rPr>
          <w:rFonts w:eastAsia="Batang" w:cs="Arial"/>
          <w:color w:val="000000"/>
          <w:sz w:val="24"/>
          <w:szCs w:val="24"/>
          <w:lang w:val="fr-CA"/>
        </w:rPr>
        <w:t>’</w:t>
      </w:r>
      <w:r w:rsidRPr="00DC5073">
        <w:rPr>
          <w:rFonts w:eastAsia="Batang" w:cs="Arial"/>
          <w:color w:val="000000"/>
          <w:sz w:val="24"/>
          <w:szCs w:val="24"/>
          <w:lang w:val="fr-CA"/>
        </w:rPr>
        <w:t>universalité des soins de santé et viser un système d</w:t>
      </w:r>
      <w:r>
        <w:rPr>
          <w:rFonts w:eastAsia="Batang" w:cs="Arial"/>
          <w:color w:val="000000"/>
          <w:sz w:val="24"/>
          <w:szCs w:val="24"/>
          <w:lang w:val="fr-CA"/>
        </w:rPr>
        <w:t>’</w:t>
      </w:r>
      <w:r w:rsidRPr="00DC5073">
        <w:rPr>
          <w:rFonts w:eastAsia="Batang" w:cs="Arial"/>
          <w:color w:val="000000"/>
          <w:sz w:val="24"/>
          <w:szCs w:val="24"/>
          <w:lang w:val="fr-CA"/>
        </w:rPr>
        <w:t xml:space="preserve">hôpitaux publics </w:t>
      </w:r>
      <w:r>
        <w:rPr>
          <w:rFonts w:eastAsia="Batang" w:cs="Arial"/>
          <w:color w:val="000000"/>
          <w:sz w:val="24"/>
          <w:szCs w:val="24"/>
          <w:lang w:val="fr-CA"/>
        </w:rPr>
        <w:t xml:space="preserve">qui ne laisse aucune </w:t>
      </w:r>
      <w:r w:rsidRPr="00DC5073">
        <w:rPr>
          <w:rFonts w:eastAsia="Batang" w:cs="Arial"/>
          <w:color w:val="000000"/>
          <w:sz w:val="24"/>
          <w:szCs w:val="24"/>
          <w:lang w:val="fr-CA"/>
        </w:rPr>
        <w:t xml:space="preserve">place </w:t>
      </w:r>
      <w:r>
        <w:rPr>
          <w:rFonts w:eastAsia="Batang" w:cs="Arial"/>
          <w:color w:val="000000"/>
          <w:sz w:val="24"/>
          <w:szCs w:val="24"/>
          <w:lang w:val="fr-CA"/>
        </w:rPr>
        <w:t>au</w:t>
      </w:r>
      <w:r w:rsidRPr="00DC5073">
        <w:rPr>
          <w:rFonts w:eastAsia="Batang" w:cs="Arial"/>
          <w:color w:val="000000"/>
          <w:sz w:val="24"/>
          <w:szCs w:val="24"/>
          <w:lang w:val="fr-CA"/>
        </w:rPr>
        <w:t xml:space="preserve"> privé. En particulier :</w:t>
      </w:r>
    </w:p>
    <w:p w:rsidR="00F95166" w:rsidRPr="00DC5073" w:rsidRDefault="00C00B92" w:rsidP="00C00B92">
      <w:pPr>
        <w:jc w:val="both"/>
        <w:rPr>
          <w:rFonts w:eastAsia="Batang" w:cs="Arial"/>
          <w:color w:val="000000"/>
          <w:sz w:val="24"/>
          <w:szCs w:val="24"/>
          <w:lang w:val="fr-CA"/>
        </w:rPr>
      </w:pPr>
      <w:r>
        <w:rPr>
          <w:rFonts w:eastAsia="Batang" w:cs="Arial"/>
          <w:color w:val="000000"/>
          <w:sz w:val="24"/>
          <w:szCs w:val="24"/>
          <w:lang w:val="fr-CA"/>
        </w:rPr>
        <w:t>*</w:t>
      </w:r>
      <w:r w:rsidR="00F95166" w:rsidRPr="00DC5073">
        <w:rPr>
          <w:rFonts w:eastAsia="Batang" w:cs="Arial"/>
          <w:color w:val="000000"/>
          <w:sz w:val="24"/>
          <w:szCs w:val="24"/>
          <w:lang w:val="fr-CA"/>
        </w:rPr>
        <w:t xml:space="preserve">les gouvernements au Canada doivent </w:t>
      </w:r>
      <w:r w:rsidR="00F95166">
        <w:rPr>
          <w:rFonts w:eastAsia="Batang" w:cs="Arial"/>
          <w:color w:val="000000"/>
          <w:sz w:val="24"/>
          <w:szCs w:val="24"/>
          <w:lang w:val="fr-CA"/>
        </w:rPr>
        <w:t>considérer la possibilité</w:t>
      </w:r>
      <w:r w:rsidR="00F95166" w:rsidRPr="00DC5073">
        <w:rPr>
          <w:rFonts w:eastAsia="Batang" w:cs="Arial"/>
          <w:color w:val="000000"/>
          <w:sz w:val="24"/>
          <w:szCs w:val="24"/>
          <w:lang w:val="fr-CA"/>
        </w:rPr>
        <w:t xml:space="preserve"> d</w:t>
      </w:r>
      <w:r w:rsidR="00F95166">
        <w:rPr>
          <w:rFonts w:eastAsia="Batang" w:cs="Arial"/>
          <w:color w:val="000000"/>
          <w:sz w:val="24"/>
          <w:szCs w:val="24"/>
          <w:lang w:val="fr-CA"/>
        </w:rPr>
        <w:t>’annuler l</w:t>
      </w:r>
      <w:r w:rsidR="00F95166" w:rsidRPr="00DC5073">
        <w:rPr>
          <w:rFonts w:eastAsia="Batang" w:cs="Arial"/>
          <w:color w:val="000000"/>
          <w:sz w:val="24"/>
          <w:szCs w:val="24"/>
          <w:lang w:val="fr-CA"/>
        </w:rPr>
        <w:t>es contrats déjà conclus avec des hôpitaux en PPP s</w:t>
      </w:r>
      <w:r w:rsidR="00F95166">
        <w:rPr>
          <w:rFonts w:eastAsia="Batang" w:cs="Arial"/>
          <w:color w:val="000000"/>
          <w:sz w:val="24"/>
          <w:szCs w:val="24"/>
          <w:lang w:val="fr-CA"/>
        </w:rPr>
        <w:t>’</w:t>
      </w:r>
      <w:r w:rsidR="00F95166" w:rsidRPr="00DC5073">
        <w:rPr>
          <w:rFonts w:eastAsia="Batang" w:cs="Arial"/>
          <w:color w:val="000000"/>
          <w:sz w:val="24"/>
          <w:szCs w:val="24"/>
          <w:lang w:val="fr-CA"/>
        </w:rPr>
        <w:t>il est démontré que l</w:t>
      </w:r>
      <w:r w:rsidR="00F95166">
        <w:rPr>
          <w:rFonts w:eastAsia="Batang" w:cs="Arial"/>
          <w:color w:val="000000"/>
          <w:sz w:val="24"/>
          <w:szCs w:val="24"/>
          <w:lang w:val="fr-CA"/>
        </w:rPr>
        <w:t>’</w:t>
      </w:r>
      <w:r w:rsidR="00F95166" w:rsidRPr="00DC5073">
        <w:rPr>
          <w:rFonts w:eastAsia="Batang" w:cs="Arial"/>
          <w:color w:val="000000"/>
          <w:sz w:val="24"/>
          <w:szCs w:val="24"/>
          <w:lang w:val="fr-CA"/>
        </w:rPr>
        <w:t>annulation</w:t>
      </w:r>
      <w:r w:rsidR="00F95166">
        <w:rPr>
          <w:rFonts w:eastAsia="Batang" w:cs="Arial"/>
          <w:color w:val="000000"/>
          <w:sz w:val="24"/>
          <w:szCs w:val="24"/>
          <w:lang w:val="fr-CA"/>
        </w:rPr>
        <w:t xml:space="preserve"> de ces </w:t>
      </w:r>
      <w:r w:rsidR="00F95166" w:rsidRPr="00DC5073">
        <w:rPr>
          <w:rFonts w:eastAsia="Batang" w:cs="Arial"/>
          <w:color w:val="000000"/>
          <w:sz w:val="24"/>
          <w:szCs w:val="24"/>
          <w:lang w:val="fr-CA"/>
        </w:rPr>
        <w:t>contrat</w:t>
      </w:r>
      <w:r w:rsidR="00F95166">
        <w:rPr>
          <w:rFonts w:eastAsia="Batang" w:cs="Arial"/>
          <w:color w:val="000000"/>
          <w:sz w:val="24"/>
          <w:szCs w:val="24"/>
          <w:lang w:val="fr-CA"/>
        </w:rPr>
        <w:t>s pourrait</w:t>
      </w:r>
      <w:r w:rsidR="00F95166" w:rsidRPr="00DC5073">
        <w:rPr>
          <w:rFonts w:eastAsia="Batang" w:cs="Arial"/>
          <w:color w:val="000000"/>
          <w:sz w:val="24"/>
          <w:szCs w:val="24"/>
          <w:lang w:val="fr-CA"/>
        </w:rPr>
        <w:t xml:space="preserve"> coûter moins cher que </w:t>
      </w:r>
      <w:r w:rsidR="00F95166">
        <w:rPr>
          <w:rFonts w:eastAsia="Batang" w:cs="Arial"/>
          <w:color w:val="000000"/>
          <w:sz w:val="24"/>
          <w:szCs w:val="24"/>
          <w:lang w:val="fr-CA"/>
        </w:rPr>
        <w:t>leur</w:t>
      </w:r>
      <w:r w:rsidR="00F95166" w:rsidRPr="00DC5073">
        <w:rPr>
          <w:rFonts w:eastAsia="Batang" w:cs="Arial"/>
          <w:color w:val="000000"/>
          <w:sz w:val="24"/>
          <w:szCs w:val="24"/>
          <w:lang w:val="fr-CA"/>
        </w:rPr>
        <w:t xml:space="preserve"> maintien. Les gouvernements doivent construire de nouveaux hôpitaux publics et rénover ceux qui sont en place </w:t>
      </w:r>
      <w:r w:rsidR="00F95166">
        <w:rPr>
          <w:rFonts w:eastAsia="Batang" w:cs="Arial"/>
          <w:color w:val="000000"/>
          <w:sz w:val="24"/>
          <w:szCs w:val="24"/>
          <w:lang w:val="fr-CA"/>
        </w:rPr>
        <w:t>en mode</w:t>
      </w:r>
      <w:r w:rsidR="00F95166" w:rsidRPr="00DC5073">
        <w:rPr>
          <w:rFonts w:eastAsia="Batang" w:cs="Arial"/>
          <w:color w:val="000000"/>
          <w:sz w:val="24"/>
          <w:szCs w:val="24"/>
          <w:lang w:val="fr-CA"/>
        </w:rPr>
        <w:t xml:space="preserve"> public, </w:t>
      </w:r>
      <w:r w:rsidR="00F95166">
        <w:rPr>
          <w:rFonts w:eastAsia="Batang" w:cs="Arial"/>
          <w:color w:val="000000"/>
          <w:sz w:val="24"/>
          <w:szCs w:val="24"/>
          <w:lang w:val="fr-CA"/>
        </w:rPr>
        <w:t>notamment en puisant dans</w:t>
      </w:r>
      <w:r w:rsidR="00F95166" w:rsidRPr="00DC5073">
        <w:rPr>
          <w:rFonts w:eastAsia="Batang" w:cs="Arial"/>
          <w:color w:val="000000"/>
          <w:sz w:val="24"/>
          <w:szCs w:val="24"/>
          <w:lang w:val="fr-CA"/>
        </w:rPr>
        <w:t xml:space="preserve"> les fonds fédéraux et </w:t>
      </w:r>
      <w:r w:rsidR="00F95166">
        <w:rPr>
          <w:rFonts w:eastAsia="Batang" w:cs="Arial"/>
          <w:color w:val="000000"/>
          <w:sz w:val="24"/>
          <w:szCs w:val="24"/>
          <w:lang w:val="fr-CA"/>
        </w:rPr>
        <w:t xml:space="preserve">en émettant des </w:t>
      </w:r>
      <w:r w:rsidR="00F95166" w:rsidRPr="00DC5073">
        <w:rPr>
          <w:rFonts w:eastAsia="Batang" w:cs="Arial"/>
          <w:color w:val="000000"/>
          <w:sz w:val="24"/>
          <w:szCs w:val="24"/>
          <w:lang w:val="fr-CA"/>
        </w:rPr>
        <w:t>obligations;</w:t>
      </w:r>
    </w:p>
    <w:p w:rsidR="00F95166" w:rsidRDefault="00C00B92" w:rsidP="00C00B92">
      <w:pPr>
        <w:jc w:val="both"/>
        <w:rPr>
          <w:rFonts w:eastAsia="Batang" w:cs="Arial"/>
          <w:color w:val="000000"/>
          <w:sz w:val="24"/>
          <w:szCs w:val="24"/>
          <w:lang w:val="fr-CA"/>
        </w:rPr>
      </w:pPr>
      <w:r>
        <w:rPr>
          <w:rFonts w:eastAsia="Batang" w:cs="Arial"/>
          <w:color w:val="000000"/>
          <w:sz w:val="24"/>
          <w:szCs w:val="24"/>
          <w:lang w:val="fr-CA"/>
        </w:rPr>
        <w:t>*</w:t>
      </w:r>
      <w:r w:rsidR="00F95166" w:rsidRPr="00DC5073">
        <w:rPr>
          <w:rFonts w:eastAsia="Batang" w:cs="Arial"/>
          <w:color w:val="000000"/>
          <w:sz w:val="24"/>
          <w:szCs w:val="24"/>
          <w:lang w:val="fr-CA"/>
        </w:rPr>
        <w:t>les vérificat</w:t>
      </w:r>
      <w:r w:rsidR="00F95166">
        <w:rPr>
          <w:rFonts w:eastAsia="Batang" w:cs="Arial"/>
          <w:color w:val="000000"/>
          <w:sz w:val="24"/>
          <w:szCs w:val="24"/>
          <w:lang w:val="fr-CA"/>
        </w:rPr>
        <w:t>eurs généraux</w:t>
      </w:r>
      <w:r w:rsidR="00F95166" w:rsidRPr="00DC5073">
        <w:rPr>
          <w:rFonts w:eastAsia="Batang" w:cs="Arial"/>
          <w:color w:val="000000"/>
          <w:sz w:val="24"/>
          <w:szCs w:val="24"/>
          <w:lang w:val="fr-CA"/>
        </w:rPr>
        <w:t xml:space="preserve"> doivent enquêter sur tous les hôpitaux en PPP afin de permettre un examen du public en bonne et due forme. Dans le passé, les enquêtes menées par des vérificateurs généraux ont permis d</w:t>
      </w:r>
      <w:r w:rsidR="00F95166">
        <w:rPr>
          <w:rFonts w:eastAsia="Batang" w:cs="Arial"/>
          <w:color w:val="000000"/>
          <w:sz w:val="24"/>
          <w:szCs w:val="24"/>
          <w:lang w:val="fr-CA"/>
        </w:rPr>
        <w:t>’</w:t>
      </w:r>
      <w:r w:rsidR="00F95166" w:rsidRPr="00DC5073">
        <w:rPr>
          <w:rFonts w:eastAsia="Batang" w:cs="Arial"/>
          <w:color w:val="000000"/>
          <w:sz w:val="24"/>
          <w:szCs w:val="24"/>
          <w:lang w:val="fr-CA"/>
        </w:rPr>
        <w:t>identifier plusieurs problèmes au sein du système d</w:t>
      </w:r>
      <w:r w:rsidR="00F95166">
        <w:rPr>
          <w:rFonts w:eastAsia="Batang" w:cs="Arial"/>
          <w:color w:val="000000"/>
          <w:sz w:val="24"/>
          <w:szCs w:val="24"/>
          <w:lang w:val="fr-CA"/>
        </w:rPr>
        <w:t>’</w:t>
      </w:r>
      <w:r w:rsidR="00F95166" w:rsidRPr="00DC5073">
        <w:rPr>
          <w:rFonts w:eastAsia="Batang" w:cs="Arial"/>
          <w:color w:val="000000"/>
          <w:sz w:val="24"/>
          <w:szCs w:val="24"/>
          <w:lang w:val="fr-CA"/>
        </w:rPr>
        <w:t>hôpitaux en PPP.</w:t>
      </w:r>
    </w:p>
    <w:p w:rsidR="00C00B92" w:rsidRDefault="00C00B92" w:rsidP="00C00B92">
      <w:pPr>
        <w:jc w:val="both"/>
        <w:rPr>
          <w:rFonts w:eastAsia="Batang" w:cs="Arial"/>
          <w:color w:val="000000"/>
          <w:sz w:val="24"/>
          <w:szCs w:val="24"/>
          <w:lang w:val="fr-CA"/>
        </w:rPr>
      </w:pPr>
    </w:p>
    <w:p w:rsidR="00C00B92" w:rsidRDefault="00C00B92" w:rsidP="00C00B92">
      <w:pPr>
        <w:jc w:val="both"/>
        <w:rPr>
          <w:rFonts w:eastAsia="Batang" w:cs="Arial"/>
          <w:color w:val="000000"/>
          <w:sz w:val="24"/>
          <w:szCs w:val="24"/>
          <w:lang w:val="fr-CA"/>
        </w:rPr>
      </w:pPr>
    </w:p>
    <w:p w:rsidR="00C00B92" w:rsidRDefault="00C00B92" w:rsidP="00C00B92">
      <w:pPr>
        <w:jc w:val="both"/>
        <w:rPr>
          <w:rFonts w:eastAsia="Batang" w:cs="Arial"/>
          <w:color w:val="000000"/>
          <w:sz w:val="24"/>
          <w:szCs w:val="24"/>
          <w:lang w:val="fr-CA"/>
        </w:rPr>
      </w:pPr>
    </w:p>
    <w:p w:rsidR="00C00B92" w:rsidRDefault="00C00B92" w:rsidP="00C00B92">
      <w:pPr>
        <w:jc w:val="both"/>
        <w:rPr>
          <w:rFonts w:eastAsia="Batang" w:cs="Arial"/>
          <w:color w:val="000000"/>
          <w:sz w:val="24"/>
          <w:szCs w:val="24"/>
          <w:lang w:val="fr-CA"/>
        </w:rPr>
      </w:pPr>
    </w:p>
    <w:p w:rsidR="00C00B92" w:rsidRPr="00C00B92" w:rsidRDefault="00C00B92" w:rsidP="00C00B92">
      <w:pPr>
        <w:spacing w:after="0"/>
        <w:jc w:val="both"/>
        <w:rPr>
          <w:rFonts w:eastAsia="Batang" w:cs="Arial"/>
          <w:color w:val="000000"/>
          <w:sz w:val="16"/>
          <w:szCs w:val="16"/>
          <w:lang w:val="fr-CA"/>
        </w:rPr>
      </w:pPr>
      <w:proofErr w:type="gramStart"/>
      <w:r w:rsidRPr="00C00B92">
        <w:rPr>
          <w:rFonts w:eastAsia="Batang" w:cs="Arial"/>
          <w:color w:val="000000"/>
          <w:sz w:val="16"/>
          <w:szCs w:val="16"/>
          <w:lang w:val="fr-CA"/>
        </w:rPr>
        <w:t>:</w:t>
      </w:r>
      <w:proofErr w:type="spellStart"/>
      <w:r w:rsidRPr="00C00B92">
        <w:rPr>
          <w:rFonts w:eastAsia="Batang" w:cs="Arial"/>
          <w:color w:val="000000"/>
          <w:sz w:val="16"/>
          <w:szCs w:val="16"/>
          <w:lang w:val="fr-CA"/>
        </w:rPr>
        <w:t>ssj</w:t>
      </w:r>
      <w:proofErr w:type="spellEnd"/>
      <w:proofErr w:type="gramEnd"/>
      <w:r w:rsidRPr="00C00B92">
        <w:rPr>
          <w:rFonts w:eastAsia="Batang" w:cs="Arial"/>
          <w:color w:val="000000"/>
          <w:sz w:val="16"/>
          <w:szCs w:val="16"/>
          <w:lang w:val="fr-CA"/>
        </w:rPr>
        <w:t>/sepb491</w:t>
      </w:r>
    </w:p>
    <w:p w:rsidR="00C00B92" w:rsidRPr="00C00B92" w:rsidRDefault="00C00B92" w:rsidP="00C00B92">
      <w:pPr>
        <w:spacing w:after="0"/>
        <w:jc w:val="both"/>
        <w:rPr>
          <w:rFonts w:eastAsia="Batang" w:cs="Arial"/>
          <w:color w:val="000000"/>
          <w:sz w:val="16"/>
          <w:szCs w:val="16"/>
          <w:lang w:val="fr-CA"/>
        </w:rPr>
      </w:pPr>
      <w:r w:rsidRPr="00C00B92">
        <w:rPr>
          <w:rFonts w:eastAsia="Batang" w:cs="Arial"/>
          <w:color w:val="000000"/>
          <w:sz w:val="16"/>
          <w:szCs w:val="16"/>
          <w:lang w:val="fr-CA"/>
        </w:rPr>
        <w:t>18 avril 2010</w:t>
      </w:r>
    </w:p>
    <w:p w:rsidR="00F95166" w:rsidRPr="00DC5073" w:rsidRDefault="00F95166" w:rsidP="0026141A">
      <w:pPr>
        <w:spacing w:after="0"/>
        <w:rPr>
          <w:rFonts w:cs="Arial"/>
          <w:sz w:val="24"/>
          <w:szCs w:val="24"/>
          <w:lang w:val="fr-CA"/>
        </w:rPr>
      </w:pPr>
    </w:p>
    <w:p w:rsidR="0014321E" w:rsidRDefault="0014321E" w:rsidP="00515888">
      <w:pPr>
        <w:jc w:val="both"/>
        <w:rPr>
          <w:rFonts w:cs="Arial"/>
          <w:sz w:val="24"/>
          <w:szCs w:val="24"/>
          <w:lang w:val="fr-CA"/>
        </w:rPr>
      </w:pPr>
    </w:p>
    <w:p w:rsidR="00F6411D" w:rsidRDefault="00F6411D">
      <w:pPr>
        <w:rPr>
          <w:rFonts w:cs="Arial"/>
          <w:sz w:val="24"/>
          <w:szCs w:val="24"/>
          <w:lang w:val="fr-CA"/>
        </w:rPr>
        <w:sectPr w:rsidR="00F6411D" w:rsidSect="00C00B92">
          <w:footnotePr>
            <w:numFmt w:val="lowerRoman"/>
          </w:footnotePr>
          <w:type w:val="continuous"/>
          <w:pgSz w:w="12240" w:h="15840" w:code="1"/>
          <w:pgMar w:top="1440" w:right="1440" w:bottom="1440" w:left="1440" w:header="720" w:footer="576" w:gutter="0"/>
          <w:cols w:space="720"/>
          <w:titlePg/>
          <w:docGrid w:linePitch="360"/>
        </w:sectPr>
      </w:pPr>
    </w:p>
    <w:p w:rsidR="00F6411D" w:rsidRPr="00F6411D" w:rsidRDefault="00F6411D" w:rsidP="00F6411D">
      <w:pPr>
        <w:spacing w:after="0" w:line="240" w:lineRule="auto"/>
        <w:rPr>
          <w:rFonts w:cs="Arial"/>
          <w:sz w:val="24"/>
          <w:szCs w:val="24"/>
          <w:lang w:val="fr-CA"/>
        </w:rPr>
        <w:sectPr w:rsidR="00F6411D" w:rsidRPr="00F6411D" w:rsidSect="00F6411D">
          <w:endnotePr>
            <w:numFmt w:val="decimal"/>
          </w:endnotePr>
          <w:type w:val="continuous"/>
          <w:pgSz w:w="12240" w:h="15840" w:code="1"/>
          <w:pgMar w:top="1008" w:right="1440" w:bottom="1008" w:left="1440" w:header="720" w:footer="576" w:gutter="0"/>
          <w:pgBorders w:display="firstPage" w:offsetFrom="page">
            <w:top w:val="thinThickThinLargeGap" w:sz="8" w:space="24" w:color="auto"/>
            <w:left w:val="thinThickThinLargeGap" w:sz="8" w:space="24" w:color="auto"/>
            <w:bottom w:val="thinThickThinLargeGap" w:sz="8" w:space="24" w:color="auto"/>
            <w:right w:val="thinThickThinLargeGap" w:sz="8" w:space="24" w:color="auto"/>
          </w:pgBorders>
          <w:cols w:space="720"/>
          <w:titlePg/>
          <w:docGrid w:linePitch="360"/>
        </w:sectPr>
      </w:pPr>
    </w:p>
    <w:p w:rsidR="00F95166" w:rsidRPr="00DC5073" w:rsidRDefault="00F95166" w:rsidP="001C0535">
      <w:pPr>
        <w:rPr>
          <w:rFonts w:cs="Arial"/>
          <w:b/>
          <w:sz w:val="20"/>
          <w:szCs w:val="20"/>
          <w:lang w:val="fr-CA"/>
        </w:rPr>
      </w:pPr>
    </w:p>
    <w:sectPr w:rsidR="00F95166" w:rsidRPr="00DC5073" w:rsidSect="00CE6414">
      <w:headerReference w:type="default" r:id="rId12"/>
      <w:footerReference w:type="defaul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6D2" w:rsidRDefault="00A056D2" w:rsidP="00CB1CF1">
      <w:pPr>
        <w:spacing w:after="0" w:line="240" w:lineRule="auto"/>
      </w:pPr>
      <w:r>
        <w:separator/>
      </w:r>
    </w:p>
  </w:endnote>
  <w:endnote w:type="continuationSeparator" w:id="0">
    <w:p w:rsidR="00A056D2" w:rsidRDefault="00A056D2" w:rsidP="00CB1CF1">
      <w:pPr>
        <w:spacing w:after="0" w:line="240" w:lineRule="auto"/>
      </w:pPr>
      <w:r>
        <w:continuationSeparator/>
      </w:r>
    </w:p>
  </w:endnote>
  <w:endnote w:id="1">
    <w:p w:rsidR="00A056D2" w:rsidRDefault="00A056D2" w:rsidP="00CF2693">
      <w:pPr>
        <w:pStyle w:val="EndnoteText"/>
        <w:ind w:left="90" w:hanging="90"/>
      </w:pPr>
      <w:r w:rsidRPr="004F61F7">
        <w:rPr>
          <w:rStyle w:val="EndnoteReference"/>
          <w:sz w:val="18"/>
          <w:szCs w:val="18"/>
          <w:lang w:val="fr-CA"/>
        </w:rPr>
        <w:endnoteRef/>
      </w:r>
      <w:r w:rsidRPr="00EC5B84">
        <w:rPr>
          <w:sz w:val="18"/>
          <w:szCs w:val="18"/>
        </w:rPr>
        <w:t xml:space="preserve"> </w:t>
      </w:r>
      <w:proofErr w:type="spellStart"/>
      <w:r w:rsidRPr="00EC5B84">
        <w:rPr>
          <w:sz w:val="18"/>
          <w:szCs w:val="18"/>
        </w:rPr>
        <w:t>Nanos</w:t>
      </w:r>
      <w:proofErr w:type="spellEnd"/>
      <w:r w:rsidRPr="00EC5B84">
        <w:rPr>
          <w:sz w:val="18"/>
          <w:szCs w:val="18"/>
        </w:rPr>
        <w:t xml:space="preserve">, </w:t>
      </w:r>
      <w:proofErr w:type="spellStart"/>
      <w:r w:rsidRPr="00EC5B84">
        <w:rPr>
          <w:sz w:val="18"/>
          <w:szCs w:val="18"/>
        </w:rPr>
        <w:t>Nik</w:t>
      </w:r>
      <w:proofErr w:type="spellEnd"/>
      <w:r w:rsidRPr="00EC5B84">
        <w:rPr>
          <w:sz w:val="18"/>
          <w:szCs w:val="18"/>
        </w:rPr>
        <w:t xml:space="preserve">. </w:t>
      </w:r>
      <w:proofErr w:type="spellStart"/>
      <w:proofErr w:type="gramStart"/>
      <w:r w:rsidRPr="00EC5B84">
        <w:rPr>
          <w:sz w:val="18"/>
          <w:szCs w:val="18"/>
        </w:rPr>
        <w:t>Novembre</w:t>
      </w:r>
      <w:proofErr w:type="spellEnd"/>
      <w:r w:rsidRPr="00EC5B84">
        <w:rPr>
          <w:sz w:val="18"/>
          <w:szCs w:val="18"/>
        </w:rPr>
        <w:t xml:space="preserve"> 2009.</w:t>
      </w:r>
      <w:proofErr w:type="gramEnd"/>
      <w:r w:rsidRPr="00EC5B84">
        <w:rPr>
          <w:sz w:val="18"/>
          <w:szCs w:val="18"/>
        </w:rPr>
        <w:t xml:space="preserve"> « </w:t>
      </w:r>
      <w:proofErr w:type="spellStart"/>
      <w:proofErr w:type="gramStart"/>
      <w:r w:rsidRPr="00EC5B84">
        <w:rPr>
          <w:sz w:val="18"/>
          <w:szCs w:val="18"/>
        </w:rPr>
        <w:t>anadians</w:t>
      </w:r>
      <w:proofErr w:type="spellEnd"/>
      <w:proofErr w:type="gramEnd"/>
      <w:r w:rsidRPr="00EC5B84">
        <w:rPr>
          <w:sz w:val="18"/>
          <w:szCs w:val="18"/>
        </w:rPr>
        <w:t xml:space="preserve"> overwhelmingly support universal health care; think Obama is on right track in United States » </w:t>
      </w:r>
      <w:proofErr w:type="spellStart"/>
      <w:r w:rsidRPr="00EC5B84">
        <w:rPr>
          <w:sz w:val="18"/>
          <w:szCs w:val="18"/>
        </w:rPr>
        <w:t>dans</w:t>
      </w:r>
      <w:proofErr w:type="spellEnd"/>
      <w:r w:rsidRPr="00EC5B84">
        <w:rPr>
          <w:sz w:val="18"/>
          <w:szCs w:val="18"/>
        </w:rPr>
        <w:t xml:space="preserve"> </w:t>
      </w:r>
      <w:r w:rsidRPr="00EC5B84">
        <w:rPr>
          <w:i/>
          <w:sz w:val="18"/>
          <w:szCs w:val="18"/>
        </w:rPr>
        <w:t>Policy Options</w:t>
      </w:r>
      <w:r w:rsidRPr="00EC5B84">
        <w:rPr>
          <w:sz w:val="18"/>
          <w:szCs w:val="18"/>
        </w:rPr>
        <w:t xml:space="preserve">; Picard, André. </w:t>
      </w:r>
      <w:proofErr w:type="gramStart"/>
      <w:r w:rsidRPr="00EC5B84">
        <w:rPr>
          <w:sz w:val="18"/>
          <w:szCs w:val="18"/>
        </w:rPr>
        <w:t xml:space="preserve">12 </w:t>
      </w:r>
      <w:proofErr w:type="spellStart"/>
      <w:r w:rsidRPr="00EC5B84">
        <w:rPr>
          <w:sz w:val="18"/>
          <w:szCs w:val="18"/>
        </w:rPr>
        <w:t>août</w:t>
      </w:r>
      <w:proofErr w:type="spellEnd"/>
      <w:r w:rsidRPr="00EC5B84">
        <w:rPr>
          <w:sz w:val="18"/>
          <w:szCs w:val="18"/>
        </w:rPr>
        <w:t xml:space="preserve"> 2009.</w:t>
      </w:r>
      <w:proofErr w:type="gramEnd"/>
      <w:r w:rsidRPr="00EC5B84">
        <w:rPr>
          <w:sz w:val="18"/>
          <w:szCs w:val="18"/>
        </w:rPr>
        <w:t xml:space="preserve"> </w:t>
      </w:r>
      <w:proofErr w:type="gramStart"/>
      <w:r w:rsidRPr="00EC5B84">
        <w:rPr>
          <w:sz w:val="18"/>
          <w:szCs w:val="18"/>
        </w:rPr>
        <w:t xml:space="preserve">« Canadians back `public solutions’ to improve care, poll finds » </w:t>
      </w:r>
      <w:proofErr w:type="spellStart"/>
      <w:r w:rsidRPr="00EC5B84">
        <w:rPr>
          <w:sz w:val="18"/>
          <w:szCs w:val="18"/>
        </w:rPr>
        <w:t>dans</w:t>
      </w:r>
      <w:proofErr w:type="spellEnd"/>
      <w:r w:rsidRPr="00EC5B84">
        <w:rPr>
          <w:sz w:val="18"/>
          <w:szCs w:val="18"/>
        </w:rPr>
        <w:t xml:space="preserve"> </w:t>
      </w:r>
      <w:r w:rsidRPr="00EC5B84">
        <w:rPr>
          <w:i/>
          <w:sz w:val="18"/>
          <w:szCs w:val="18"/>
        </w:rPr>
        <w:t>Globe and Mail.</w:t>
      </w:r>
      <w:proofErr w:type="gramEnd"/>
    </w:p>
  </w:endnote>
  <w:endnote w:id="2">
    <w:p w:rsidR="00A056D2" w:rsidRDefault="00A056D2">
      <w:pPr>
        <w:pStyle w:val="EndnoteText"/>
      </w:pPr>
      <w:r w:rsidRPr="004F61F7">
        <w:rPr>
          <w:rStyle w:val="EndnoteReference"/>
          <w:sz w:val="18"/>
          <w:szCs w:val="18"/>
          <w:lang w:val="fr-CA"/>
        </w:rPr>
        <w:endnoteRef/>
      </w:r>
      <w:r w:rsidRPr="00EC5B84">
        <w:rPr>
          <w:sz w:val="18"/>
          <w:szCs w:val="18"/>
        </w:rPr>
        <w:t xml:space="preserve"> Mackenzie, Hugh. </w:t>
      </w:r>
      <w:proofErr w:type="spellStart"/>
      <w:proofErr w:type="gramStart"/>
      <w:r w:rsidRPr="00EC5B84">
        <w:rPr>
          <w:sz w:val="18"/>
          <w:szCs w:val="18"/>
        </w:rPr>
        <w:t>Octobre</w:t>
      </w:r>
      <w:proofErr w:type="spellEnd"/>
      <w:r w:rsidRPr="00EC5B84">
        <w:rPr>
          <w:sz w:val="18"/>
          <w:szCs w:val="18"/>
        </w:rPr>
        <w:t xml:space="preserve"> 2004.</w:t>
      </w:r>
      <w:proofErr w:type="gramEnd"/>
      <w:r w:rsidRPr="00EC5B84">
        <w:rPr>
          <w:sz w:val="18"/>
          <w:szCs w:val="18"/>
        </w:rPr>
        <w:t xml:space="preserve"> </w:t>
      </w:r>
      <w:r w:rsidRPr="00EC5B84">
        <w:rPr>
          <w:i/>
          <w:sz w:val="18"/>
          <w:szCs w:val="18"/>
        </w:rPr>
        <w:t>Financing Canada’s Hospitals: Public Alternatives to P3s</w:t>
      </w:r>
      <w:r w:rsidRPr="00EC5B84">
        <w:rPr>
          <w:sz w:val="18"/>
          <w:szCs w:val="18"/>
        </w:rPr>
        <w:t>.</w:t>
      </w:r>
    </w:p>
  </w:endnote>
  <w:endnote w:id="3">
    <w:p w:rsidR="00A056D2" w:rsidRPr="00EC5B84" w:rsidRDefault="00A056D2" w:rsidP="001C0535">
      <w:pPr>
        <w:pStyle w:val="EndnoteText"/>
        <w:ind w:left="90" w:hanging="90"/>
        <w:rPr>
          <w:lang w:val="fr-CA"/>
        </w:rPr>
      </w:pPr>
      <w:r w:rsidRPr="004F61F7">
        <w:rPr>
          <w:rStyle w:val="EndnoteReference"/>
          <w:sz w:val="18"/>
          <w:szCs w:val="18"/>
          <w:lang w:val="fr-CA"/>
        </w:rPr>
        <w:endnoteRef/>
      </w:r>
      <w:r w:rsidRPr="004F61F7">
        <w:rPr>
          <w:sz w:val="18"/>
          <w:szCs w:val="18"/>
          <w:lang w:val="fr-CA"/>
        </w:rPr>
        <w:t xml:space="preserve"> Site Web de Statistique Canada. 22 décembre 2010. </w:t>
      </w:r>
      <w:r w:rsidRPr="004F61F7">
        <w:rPr>
          <w:color w:val="000000"/>
          <w:sz w:val="18"/>
          <w:szCs w:val="18"/>
          <w:lang w:val="fr-CA"/>
        </w:rPr>
        <w:t>En décembre 2001, la population canadienne comptait 31 021 000 habitants; en décembre 1956, la population canadienne s</w:t>
      </w:r>
      <w:r>
        <w:rPr>
          <w:color w:val="000000"/>
          <w:sz w:val="18"/>
          <w:szCs w:val="18"/>
          <w:lang w:val="fr-CA"/>
        </w:rPr>
        <w:t>’</w:t>
      </w:r>
      <w:r w:rsidRPr="004F61F7">
        <w:rPr>
          <w:color w:val="000000"/>
          <w:sz w:val="18"/>
          <w:szCs w:val="18"/>
          <w:lang w:val="fr-CA"/>
        </w:rPr>
        <w:t>établissait à 16 081 000 habitants.</w:t>
      </w:r>
    </w:p>
  </w:endnote>
  <w:endnote w:id="4">
    <w:p w:rsidR="00A056D2" w:rsidRDefault="00A056D2" w:rsidP="00CF2693">
      <w:pPr>
        <w:pStyle w:val="EndnoteText"/>
        <w:ind w:left="90" w:hanging="90"/>
      </w:pPr>
      <w:r w:rsidRPr="004F61F7">
        <w:rPr>
          <w:rStyle w:val="EndnoteReference"/>
          <w:sz w:val="18"/>
          <w:szCs w:val="18"/>
          <w:lang w:val="fr-CA"/>
        </w:rPr>
        <w:endnoteRef/>
      </w:r>
      <w:r w:rsidRPr="004F61F7">
        <w:rPr>
          <w:sz w:val="18"/>
          <w:szCs w:val="18"/>
          <w:lang w:val="fr-CA"/>
        </w:rPr>
        <w:t xml:space="preserve"> Pollock, Allyson M., Jean </w:t>
      </w:r>
      <w:proofErr w:type="spellStart"/>
      <w:r w:rsidRPr="004F61F7">
        <w:rPr>
          <w:sz w:val="18"/>
          <w:szCs w:val="18"/>
          <w:lang w:val="fr-CA"/>
        </w:rPr>
        <w:t>Shaoul</w:t>
      </w:r>
      <w:proofErr w:type="spellEnd"/>
      <w:r w:rsidRPr="004F61F7">
        <w:rPr>
          <w:sz w:val="18"/>
          <w:szCs w:val="18"/>
          <w:lang w:val="fr-CA"/>
        </w:rPr>
        <w:t xml:space="preserve"> et Neil Vickers. 18 mai 2002. </w:t>
      </w:r>
      <w:proofErr w:type="gramStart"/>
      <w:r w:rsidRPr="00EC5B84">
        <w:rPr>
          <w:sz w:val="18"/>
          <w:szCs w:val="18"/>
        </w:rPr>
        <w:t xml:space="preserve">« Private finance and “value for money” in NHS hospitals: a policy in search of a rationale? » </w:t>
      </w:r>
      <w:proofErr w:type="spellStart"/>
      <w:r w:rsidRPr="00EC5B84">
        <w:rPr>
          <w:sz w:val="18"/>
          <w:szCs w:val="18"/>
        </w:rPr>
        <w:t>dans</w:t>
      </w:r>
      <w:proofErr w:type="spellEnd"/>
      <w:r w:rsidRPr="00EC5B84">
        <w:rPr>
          <w:sz w:val="18"/>
          <w:szCs w:val="18"/>
        </w:rPr>
        <w:t xml:space="preserve"> </w:t>
      </w:r>
      <w:r w:rsidRPr="00EC5B84">
        <w:rPr>
          <w:i/>
          <w:sz w:val="18"/>
          <w:szCs w:val="18"/>
        </w:rPr>
        <w:t>British Medical Journal 324.</w:t>
      </w:r>
      <w:proofErr w:type="gramEnd"/>
      <w:r w:rsidRPr="00EC5B84">
        <w:rPr>
          <w:sz w:val="18"/>
          <w:szCs w:val="18"/>
        </w:rPr>
        <w:t xml:space="preserve"> p. 1205-1209; </w:t>
      </w:r>
      <w:proofErr w:type="spellStart"/>
      <w:r w:rsidRPr="00EC5B84">
        <w:rPr>
          <w:sz w:val="18"/>
          <w:szCs w:val="18"/>
        </w:rPr>
        <w:t>Auerbach</w:t>
      </w:r>
      <w:proofErr w:type="spellEnd"/>
      <w:r w:rsidRPr="00EC5B84">
        <w:rPr>
          <w:sz w:val="18"/>
          <w:szCs w:val="18"/>
        </w:rPr>
        <w:t xml:space="preserve">, Lewis, Arthur Donner, Douglas D. Peters, Monica </w:t>
      </w:r>
      <w:proofErr w:type="spellStart"/>
      <w:r w:rsidRPr="00EC5B84">
        <w:rPr>
          <w:sz w:val="18"/>
          <w:szCs w:val="18"/>
        </w:rPr>
        <w:t>Townson</w:t>
      </w:r>
      <w:proofErr w:type="spellEnd"/>
      <w:r w:rsidRPr="00EC5B84">
        <w:rPr>
          <w:sz w:val="18"/>
          <w:szCs w:val="18"/>
        </w:rPr>
        <w:t xml:space="preserve"> </w:t>
      </w:r>
      <w:proofErr w:type="gramStart"/>
      <w:r w:rsidRPr="00EC5B84">
        <w:rPr>
          <w:sz w:val="18"/>
          <w:szCs w:val="18"/>
        </w:rPr>
        <w:t>et</w:t>
      </w:r>
      <w:proofErr w:type="gramEnd"/>
      <w:r w:rsidRPr="00EC5B84">
        <w:rPr>
          <w:sz w:val="18"/>
          <w:szCs w:val="18"/>
        </w:rPr>
        <w:t xml:space="preserve"> </w:t>
      </w:r>
      <w:proofErr w:type="spellStart"/>
      <w:r w:rsidRPr="00EC5B84">
        <w:rPr>
          <w:sz w:val="18"/>
          <w:szCs w:val="18"/>
        </w:rPr>
        <w:t>Armine</w:t>
      </w:r>
      <w:proofErr w:type="spellEnd"/>
      <w:r w:rsidRPr="00EC5B84">
        <w:rPr>
          <w:sz w:val="18"/>
          <w:szCs w:val="18"/>
        </w:rPr>
        <w:t xml:space="preserve"> </w:t>
      </w:r>
      <w:proofErr w:type="spellStart"/>
      <w:r w:rsidRPr="00EC5B84">
        <w:rPr>
          <w:sz w:val="18"/>
          <w:szCs w:val="18"/>
        </w:rPr>
        <w:t>Yalnizyan</w:t>
      </w:r>
      <w:proofErr w:type="spellEnd"/>
      <w:r w:rsidRPr="00EC5B84">
        <w:rPr>
          <w:sz w:val="18"/>
          <w:szCs w:val="18"/>
        </w:rPr>
        <w:t xml:space="preserve">. </w:t>
      </w:r>
      <w:proofErr w:type="spellStart"/>
      <w:proofErr w:type="gramStart"/>
      <w:r w:rsidRPr="00EC5B84">
        <w:rPr>
          <w:sz w:val="18"/>
          <w:szCs w:val="18"/>
        </w:rPr>
        <w:t>Novembre</w:t>
      </w:r>
      <w:proofErr w:type="spellEnd"/>
      <w:r w:rsidRPr="00EC5B84">
        <w:rPr>
          <w:sz w:val="18"/>
          <w:szCs w:val="18"/>
        </w:rPr>
        <w:t xml:space="preserve"> 2003.</w:t>
      </w:r>
      <w:proofErr w:type="gramEnd"/>
      <w:r w:rsidRPr="00EC5B84">
        <w:rPr>
          <w:sz w:val="18"/>
          <w:szCs w:val="18"/>
        </w:rPr>
        <w:t xml:space="preserve"> </w:t>
      </w:r>
      <w:proofErr w:type="gramStart"/>
      <w:r w:rsidRPr="00EC5B84">
        <w:rPr>
          <w:sz w:val="18"/>
          <w:szCs w:val="18"/>
        </w:rPr>
        <w:t xml:space="preserve">« Funding Hospital Infrastructure: Why P3s Don’t Work, and What Will » </w:t>
      </w:r>
      <w:proofErr w:type="spellStart"/>
      <w:r w:rsidRPr="00EC5B84">
        <w:rPr>
          <w:sz w:val="18"/>
          <w:szCs w:val="18"/>
        </w:rPr>
        <w:t>dans</w:t>
      </w:r>
      <w:proofErr w:type="spellEnd"/>
      <w:r w:rsidRPr="00EC5B84">
        <w:rPr>
          <w:sz w:val="18"/>
          <w:szCs w:val="18"/>
        </w:rPr>
        <w:t xml:space="preserve"> </w:t>
      </w:r>
      <w:r w:rsidRPr="00EC5B84">
        <w:rPr>
          <w:i/>
          <w:sz w:val="18"/>
          <w:szCs w:val="18"/>
        </w:rPr>
        <w:t>Canadian Centre for Policy Alternatives</w:t>
      </w:r>
      <w:r w:rsidRPr="00EC5B84">
        <w:rPr>
          <w:sz w:val="18"/>
          <w:szCs w:val="18"/>
        </w:rPr>
        <w:t>.</w:t>
      </w:r>
      <w:proofErr w:type="gramEnd"/>
      <w:r w:rsidRPr="00EC5B84">
        <w:rPr>
          <w:sz w:val="18"/>
          <w:szCs w:val="18"/>
        </w:rPr>
        <w:t xml:space="preserve"> Et Pollack, Allyson. </w:t>
      </w:r>
      <w:proofErr w:type="gramStart"/>
      <w:r w:rsidRPr="00EC5B84">
        <w:rPr>
          <w:sz w:val="18"/>
          <w:szCs w:val="18"/>
        </w:rPr>
        <w:t>11 </w:t>
      </w:r>
      <w:proofErr w:type="spellStart"/>
      <w:r w:rsidRPr="00EC5B84">
        <w:rPr>
          <w:sz w:val="18"/>
          <w:szCs w:val="18"/>
        </w:rPr>
        <w:t>juin</w:t>
      </w:r>
      <w:proofErr w:type="spellEnd"/>
      <w:r w:rsidRPr="00EC5B84">
        <w:rPr>
          <w:sz w:val="18"/>
          <w:szCs w:val="18"/>
        </w:rPr>
        <w:t> 2008.</w:t>
      </w:r>
      <w:proofErr w:type="gramEnd"/>
      <w:r w:rsidRPr="00EC5B84">
        <w:rPr>
          <w:sz w:val="18"/>
          <w:szCs w:val="18"/>
        </w:rPr>
        <w:t xml:space="preserve"> « Operating profits: It’s a myth that the NHS is unaffordable. </w:t>
      </w:r>
      <w:proofErr w:type="gramStart"/>
      <w:r w:rsidRPr="00EC5B84">
        <w:rPr>
          <w:sz w:val="18"/>
          <w:szCs w:val="18"/>
        </w:rPr>
        <w:t xml:space="preserve">In reality it is being destroyed by the rush to market » </w:t>
      </w:r>
      <w:proofErr w:type="spellStart"/>
      <w:r w:rsidRPr="00EC5B84">
        <w:rPr>
          <w:sz w:val="18"/>
          <w:szCs w:val="18"/>
        </w:rPr>
        <w:t>dans</w:t>
      </w:r>
      <w:proofErr w:type="spellEnd"/>
      <w:r w:rsidRPr="00EC5B84">
        <w:rPr>
          <w:sz w:val="18"/>
          <w:szCs w:val="18"/>
        </w:rPr>
        <w:t xml:space="preserve"> </w:t>
      </w:r>
      <w:r w:rsidRPr="00EC5B84">
        <w:rPr>
          <w:i/>
          <w:sz w:val="18"/>
          <w:szCs w:val="18"/>
        </w:rPr>
        <w:t>The Guardian</w:t>
      </w:r>
      <w:r w:rsidRPr="00EC5B84">
        <w:rPr>
          <w:sz w:val="18"/>
          <w:szCs w:val="18"/>
        </w:rPr>
        <w:t>.</w:t>
      </w:r>
      <w:proofErr w:type="gramEnd"/>
      <w:r w:rsidRPr="00EC5B84">
        <w:rPr>
          <w:sz w:val="18"/>
          <w:szCs w:val="18"/>
        </w:rPr>
        <w:t xml:space="preserve"> </w:t>
      </w:r>
    </w:p>
  </w:endnote>
  <w:endnote w:id="5">
    <w:p w:rsidR="00A056D2" w:rsidRDefault="00A056D2" w:rsidP="00CA73CD">
      <w:pPr>
        <w:pStyle w:val="EndnoteText"/>
      </w:pPr>
      <w:r w:rsidRPr="004F61F7">
        <w:rPr>
          <w:rStyle w:val="EndnoteReference"/>
          <w:sz w:val="18"/>
          <w:szCs w:val="18"/>
          <w:lang w:val="fr-CA"/>
        </w:rPr>
        <w:endnoteRef/>
      </w:r>
      <w:r w:rsidRPr="00EC5B84">
        <w:rPr>
          <w:sz w:val="18"/>
          <w:szCs w:val="18"/>
        </w:rPr>
        <w:t xml:space="preserve"> </w:t>
      </w:r>
      <w:proofErr w:type="gramStart"/>
      <w:r w:rsidRPr="00EC5B84">
        <w:rPr>
          <w:sz w:val="18"/>
          <w:szCs w:val="18"/>
        </w:rPr>
        <w:t>4 </w:t>
      </w:r>
      <w:proofErr w:type="spellStart"/>
      <w:r w:rsidRPr="00EC5B84">
        <w:rPr>
          <w:sz w:val="18"/>
          <w:szCs w:val="18"/>
        </w:rPr>
        <w:t>juillet</w:t>
      </w:r>
      <w:proofErr w:type="spellEnd"/>
      <w:r w:rsidRPr="00EC5B84">
        <w:rPr>
          <w:sz w:val="18"/>
          <w:szCs w:val="18"/>
        </w:rPr>
        <w:t> 2009.</w:t>
      </w:r>
      <w:proofErr w:type="gramEnd"/>
      <w:r w:rsidRPr="00EC5B84">
        <w:rPr>
          <w:sz w:val="18"/>
          <w:szCs w:val="18"/>
        </w:rPr>
        <w:t xml:space="preserve"> « PFI deals in recession: Singing the blues » </w:t>
      </w:r>
      <w:proofErr w:type="spellStart"/>
      <w:r w:rsidRPr="00EC5B84">
        <w:rPr>
          <w:sz w:val="18"/>
          <w:szCs w:val="18"/>
        </w:rPr>
        <w:t>dans</w:t>
      </w:r>
      <w:proofErr w:type="spellEnd"/>
      <w:r w:rsidRPr="00EC5B84">
        <w:rPr>
          <w:sz w:val="18"/>
          <w:szCs w:val="18"/>
        </w:rPr>
        <w:t xml:space="preserve"> </w:t>
      </w:r>
      <w:r w:rsidRPr="00EC5B84">
        <w:rPr>
          <w:i/>
          <w:sz w:val="18"/>
          <w:szCs w:val="18"/>
        </w:rPr>
        <w:t>The Economist</w:t>
      </w:r>
      <w:r w:rsidRPr="00EC5B84">
        <w:rPr>
          <w:sz w:val="18"/>
          <w:szCs w:val="18"/>
        </w:rPr>
        <w:t xml:space="preserve">. </w:t>
      </w:r>
      <w:proofErr w:type="gramStart"/>
      <w:r w:rsidRPr="00EC5B84">
        <w:rPr>
          <w:sz w:val="18"/>
          <w:szCs w:val="18"/>
        </w:rPr>
        <w:t>p. 22.</w:t>
      </w:r>
      <w:proofErr w:type="gramEnd"/>
    </w:p>
  </w:endnote>
  <w:endnote w:id="6">
    <w:p w:rsidR="00A056D2" w:rsidRDefault="00A056D2" w:rsidP="00CF2693">
      <w:pPr>
        <w:pStyle w:val="EndnoteText"/>
        <w:ind w:left="90" w:hanging="90"/>
      </w:pPr>
      <w:r w:rsidRPr="004F61F7">
        <w:rPr>
          <w:rStyle w:val="EndnoteReference"/>
          <w:sz w:val="18"/>
          <w:szCs w:val="18"/>
          <w:lang w:val="fr-CA"/>
        </w:rPr>
        <w:endnoteRef/>
      </w:r>
      <w:r w:rsidRPr="00EC5B84">
        <w:rPr>
          <w:sz w:val="18"/>
          <w:szCs w:val="18"/>
        </w:rPr>
        <w:t xml:space="preserve"> Hall, David. </w:t>
      </w:r>
      <w:proofErr w:type="spellStart"/>
      <w:proofErr w:type="gramStart"/>
      <w:r w:rsidRPr="00EC5B84">
        <w:rPr>
          <w:sz w:val="18"/>
          <w:szCs w:val="18"/>
        </w:rPr>
        <w:t>Janvier</w:t>
      </w:r>
      <w:proofErr w:type="spellEnd"/>
      <w:r w:rsidRPr="00EC5B84">
        <w:rPr>
          <w:sz w:val="18"/>
          <w:szCs w:val="18"/>
        </w:rPr>
        <w:t> 2009.</w:t>
      </w:r>
      <w:proofErr w:type="gramEnd"/>
      <w:r w:rsidRPr="00EC5B84">
        <w:rPr>
          <w:sz w:val="18"/>
          <w:szCs w:val="18"/>
        </w:rPr>
        <w:t xml:space="preserve"> </w:t>
      </w:r>
      <w:proofErr w:type="gramStart"/>
      <w:r w:rsidRPr="00EC5B84">
        <w:rPr>
          <w:sz w:val="18"/>
          <w:szCs w:val="18"/>
        </w:rPr>
        <w:t>« A crisis for public-private partnerships (PPPs)? ».</w:t>
      </w:r>
      <w:proofErr w:type="gramEnd"/>
      <w:r w:rsidRPr="00EC5B84">
        <w:rPr>
          <w:sz w:val="18"/>
          <w:szCs w:val="18"/>
        </w:rPr>
        <w:t xml:space="preserve"> </w:t>
      </w:r>
      <w:proofErr w:type="gramStart"/>
      <w:r w:rsidRPr="00EC5B84">
        <w:rPr>
          <w:sz w:val="18"/>
          <w:szCs w:val="18"/>
        </w:rPr>
        <w:t>Public Services International Research Unit (PSIRU), University of Greenwich.</w:t>
      </w:r>
      <w:proofErr w:type="gramEnd"/>
      <w:r w:rsidRPr="00EC5B84">
        <w:rPr>
          <w:sz w:val="18"/>
          <w:szCs w:val="18"/>
        </w:rPr>
        <w:t xml:space="preserve"> </w:t>
      </w:r>
      <w:proofErr w:type="spellStart"/>
      <w:r w:rsidRPr="00EC5B84">
        <w:rPr>
          <w:sz w:val="18"/>
          <w:szCs w:val="18"/>
        </w:rPr>
        <w:t>Londres</w:t>
      </w:r>
      <w:proofErr w:type="spellEnd"/>
      <w:r w:rsidRPr="00EC5B84">
        <w:rPr>
          <w:sz w:val="18"/>
          <w:szCs w:val="18"/>
        </w:rPr>
        <w:t xml:space="preserve">, R.-U.; Parks, Ronald H. </w:t>
      </w:r>
      <w:proofErr w:type="gramStart"/>
      <w:r w:rsidRPr="00EC5B84">
        <w:rPr>
          <w:sz w:val="18"/>
          <w:szCs w:val="18"/>
        </w:rPr>
        <w:t>et</w:t>
      </w:r>
      <w:proofErr w:type="gramEnd"/>
      <w:r w:rsidRPr="00EC5B84">
        <w:rPr>
          <w:sz w:val="18"/>
          <w:szCs w:val="18"/>
        </w:rPr>
        <w:t xml:space="preserve"> Rosanne E. </w:t>
      </w:r>
      <w:proofErr w:type="spellStart"/>
      <w:r w:rsidRPr="00EC5B84">
        <w:rPr>
          <w:sz w:val="18"/>
          <w:szCs w:val="18"/>
        </w:rPr>
        <w:t>Terhart</w:t>
      </w:r>
      <w:proofErr w:type="spellEnd"/>
      <w:r w:rsidRPr="00EC5B84">
        <w:rPr>
          <w:sz w:val="18"/>
          <w:szCs w:val="18"/>
        </w:rPr>
        <w:t xml:space="preserve">. </w:t>
      </w:r>
      <w:proofErr w:type="gramStart"/>
      <w:r w:rsidRPr="00EC5B84">
        <w:rPr>
          <w:sz w:val="18"/>
          <w:szCs w:val="18"/>
        </w:rPr>
        <w:t>5 </w:t>
      </w:r>
      <w:proofErr w:type="spellStart"/>
      <w:r w:rsidRPr="00EC5B84">
        <w:rPr>
          <w:sz w:val="18"/>
          <w:szCs w:val="18"/>
        </w:rPr>
        <w:t>janvier</w:t>
      </w:r>
      <w:proofErr w:type="spellEnd"/>
      <w:r w:rsidRPr="00EC5B84">
        <w:rPr>
          <w:sz w:val="18"/>
          <w:szCs w:val="18"/>
        </w:rPr>
        <w:t> 2009.</w:t>
      </w:r>
      <w:proofErr w:type="gramEnd"/>
      <w:r w:rsidRPr="00EC5B84">
        <w:rPr>
          <w:sz w:val="18"/>
          <w:szCs w:val="18"/>
        </w:rPr>
        <w:t xml:space="preserve"> </w:t>
      </w:r>
      <w:r w:rsidRPr="00EC5B84">
        <w:rPr>
          <w:i/>
          <w:sz w:val="18"/>
          <w:szCs w:val="18"/>
        </w:rPr>
        <w:t xml:space="preserve">Evaluation of Public Private Partnerships: Costing and Evaluation </w:t>
      </w:r>
      <w:proofErr w:type="gramStart"/>
      <w:r w:rsidRPr="00EC5B84">
        <w:rPr>
          <w:i/>
          <w:sz w:val="18"/>
          <w:szCs w:val="18"/>
        </w:rPr>
        <w:t>Methodology</w:t>
      </w:r>
      <w:r w:rsidRPr="00EC5B84">
        <w:rPr>
          <w:sz w:val="18"/>
          <w:szCs w:val="18"/>
        </w:rPr>
        <w:t>.;</w:t>
      </w:r>
      <w:proofErr w:type="gramEnd"/>
      <w:r w:rsidRPr="00EC5B84">
        <w:rPr>
          <w:sz w:val="18"/>
          <w:szCs w:val="18"/>
        </w:rPr>
        <w:t xml:space="preserve"> </w:t>
      </w:r>
      <w:proofErr w:type="spellStart"/>
      <w:r w:rsidRPr="00EC5B84">
        <w:rPr>
          <w:sz w:val="18"/>
          <w:szCs w:val="18"/>
        </w:rPr>
        <w:t>Vérificateur</w:t>
      </w:r>
      <w:proofErr w:type="spellEnd"/>
      <w:r w:rsidRPr="00EC5B84">
        <w:rPr>
          <w:sz w:val="18"/>
          <w:szCs w:val="18"/>
        </w:rPr>
        <w:t xml:space="preserve"> </w:t>
      </w:r>
      <w:proofErr w:type="spellStart"/>
      <w:r w:rsidRPr="00EC5B84">
        <w:rPr>
          <w:sz w:val="18"/>
          <w:szCs w:val="18"/>
        </w:rPr>
        <w:t>général</w:t>
      </w:r>
      <w:proofErr w:type="spellEnd"/>
      <w:r w:rsidRPr="00EC5B84">
        <w:rPr>
          <w:sz w:val="18"/>
          <w:szCs w:val="18"/>
        </w:rPr>
        <w:t xml:space="preserve"> de </w:t>
      </w:r>
      <w:proofErr w:type="spellStart"/>
      <w:r w:rsidRPr="00EC5B84">
        <w:rPr>
          <w:sz w:val="18"/>
          <w:szCs w:val="18"/>
        </w:rPr>
        <w:t>l’Ontario</w:t>
      </w:r>
      <w:proofErr w:type="spellEnd"/>
      <w:r w:rsidRPr="00EC5B84">
        <w:rPr>
          <w:sz w:val="18"/>
          <w:szCs w:val="18"/>
        </w:rPr>
        <w:t xml:space="preserve">. </w:t>
      </w:r>
      <w:r w:rsidRPr="00327171">
        <w:rPr>
          <w:sz w:val="18"/>
          <w:szCs w:val="18"/>
        </w:rPr>
        <w:t xml:space="preserve">2008. </w:t>
      </w:r>
      <w:r w:rsidRPr="00327171">
        <w:rPr>
          <w:i/>
          <w:sz w:val="18"/>
          <w:szCs w:val="18"/>
        </w:rPr>
        <w:t xml:space="preserve">Rapport </w:t>
      </w:r>
      <w:proofErr w:type="spellStart"/>
      <w:r w:rsidRPr="00327171">
        <w:rPr>
          <w:i/>
          <w:sz w:val="18"/>
          <w:szCs w:val="18"/>
        </w:rPr>
        <w:t>annuel</w:t>
      </w:r>
      <w:proofErr w:type="spellEnd"/>
      <w:r w:rsidRPr="00327171">
        <w:rPr>
          <w:sz w:val="18"/>
          <w:szCs w:val="18"/>
        </w:rPr>
        <w:t xml:space="preserve">. </w:t>
      </w:r>
      <w:proofErr w:type="spellStart"/>
      <w:proofErr w:type="gramStart"/>
      <w:r w:rsidRPr="00EC5B84">
        <w:rPr>
          <w:sz w:val="18"/>
          <w:szCs w:val="18"/>
        </w:rPr>
        <w:t>Chapitre</w:t>
      </w:r>
      <w:proofErr w:type="spellEnd"/>
      <w:r w:rsidRPr="00EC5B84">
        <w:rPr>
          <w:sz w:val="18"/>
          <w:szCs w:val="18"/>
        </w:rPr>
        <w:t xml:space="preserve"> 3; Mackenzie, Hugh.</w:t>
      </w:r>
      <w:proofErr w:type="gramEnd"/>
      <w:r w:rsidRPr="00EC5B84">
        <w:rPr>
          <w:sz w:val="18"/>
          <w:szCs w:val="18"/>
        </w:rPr>
        <w:t xml:space="preserve"> </w:t>
      </w:r>
      <w:proofErr w:type="spellStart"/>
      <w:proofErr w:type="gramStart"/>
      <w:r w:rsidRPr="00EC5B84">
        <w:rPr>
          <w:sz w:val="18"/>
          <w:szCs w:val="18"/>
        </w:rPr>
        <w:t>Juin</w:t>
      </w:r>
      <w:proofErr w:type="spellEnd"/>
      <w:r w:rsidRPr="00EC5B84">
        <w:rPr>
          <w:sz w:val="18"/>
          <w:szCs w:val="18"/>
        </w:rPr>
        <w:t xml:space="preserve"> 2009.</w:t>
      </w:r>
      <w:proofErr w:type="gramEnd"/>
      <w:r w:rsidRPr="00EC5B84">
        <w:rPr>
          <w:sz w:val="18"/>
          <w:szCs w:val="18"/>
        </w:rPr>
        <w:t xml:space="preserve"> </w:t>
      </w:r>
      <w:r w:rsidRPr="00EC5B84">
        <w:rPr>
          <w:i/>
          <w:sz w:val="18"/>
          <w:szCs w:val="18"/>
        </w:rPr>
        <w:t>Bad Before, Worse Now: The Financial Crisis and the Skyrocketing Costs of Public Private Partnerships (P3s)</w:t>
      </w:r>
      <w:r w:rsidRPr="00EC5B84">
        <w:rPr>
          <w:sz w:val="18"/>
          <w:szCs w:val="18"/>
        </w:rPr>
        <w:t>.</w:t>
      </w:r>
    </w:p>
  </w:endnote>
  <w:endnote w:id="7">
    <w:p w:rsidR="00A056D2" w:rsidRDefault="00A056D2" w:rsidP="00CF2693">
      <w:pPr>
        <w:pStyle w:val="EndnoteText"/>
        <w:ind w:left="90" w:hanging="90"/>
      </w:pPr>
      <w:r w:rsidRPr="004F61F7">
        <w:rPr>
          <w:rStyle w:val="EndnoteReference"/>
          <w:sz w:val="18"/>
          <w:szCs w:val="18"/>
          <w:lang w:val="fr-CA"/>
        </w:rPr>
        <w:endnoteRef/>
      </w:r>
      <w:r w:rsidRPr="00EC5B84">
        <w:rPr>
          <w:sz w:val="18"/>
          <w:szCs w:val="18"/>
        </w:rPr>
        <w:t xml:space="preserve"> Mackenzie, Hugh. </w:t>
      </w:r>
      <w:proofErr w:type="spellStart"/>
      <w:proofErr w:type="gramStart"/>
      <w:r w:rsidRPr="00EC5B84">
        <w:rPr>
          <w:sz w:val="18"/>
          <w:szCs w:val="18"/>
        </w:rPr>
        <w:t>Juin</w:t>
      </w:r>
      <w:proofErr w:type="spellEnd"/>
      <w:r w:rsidRPr="00EC5B84">
        <w:rPr>
          <w:sz w:val="18"/>
          <w:szCs w:val="18"/>
        </w:rPr>
        <w:t xml:space="preserve"> 2009.</w:t>
      </w:r>
      <w:proofErr w:type="gramEnd"/>
      <w:r w:rsidRPr="00EC5B84">
        <w:rPr>
          <w:sz w:val="18"/>
          <w:szCs w:val="18"/>
        </w:rPr>
        <w:t xml:space="preserve"> </w:t>
      </w:r>
      <w:r w:rsidRPr="00EC5B84">
        <w:rPr>
          <w:i/>
          <w:sz w:val="18"/>
          <w:szCs w:val="18"/>
        </w:rPr>
        <w:t>Bad Before, Worse Now: The Financial Crisis and the Skyrocketing Costs of Public Private Partnerships (P3s)</w:t>
      </w:r>
      <w:r w:rsidRPr="00EC5B84">
        <w:rPr>
          <w:sz w:val="18"/>
          <w:szCs w:val="18"/>
        </w:rPr>
        <w:t>.</w:t>
      </w:r>
    </w:p>
  </w:endnote>
  <w:endnote w:id="8">
    <w:p w:rsidR="00A056D2" w:rsidRPr="00EC5B84" w:rsidRDefault="00A056D2" w:rsidP="007E2B8A">
      <w:pPr>
        <w:pStyle w:val="EndnoteText"/>
        <w:rPr>
          <w:lang w:val="fr-CA"/>
        </w:rPr>
      </w:pPr>
      <w:r w:rsidRPr="004F61F7">
        <w:rPr>
          <w:rStyle w:val="EndnoteReference"/>
          <w:sz w:val="18"/>
          <w:szCs w:val="18"/>
          <w:lang w:val="fr-CA"/>
        </w:rPr>
        <w:endnoteRef/>
      </w:r>
      <w:r w:rsidRPr="004F61F7">
        <w:rPr>
          <w:sz w:val="18"/>
          <w:szCs w:val="18"/>
          <w:lang w:val="fr-CA"/>
        </w:rPr>
        <w:t xml:space="preserve"> Pour des exemples des résultats obtenus par des groupes de pression contre les PPP, voir les pages 10 à 12 du document.</w:t>
      </w:r>
    </w:p>
  </w:endnote>
  <w:endnote w:id="9">
    <w:p w:rsidR="00A056D2" w:rsidRDefault="00A056D2" w:rsidP="00CF2693">
      <w:pPr>
        <w:pStyle w:val="EndnoteText"/>
        <w:ind w:left="90" w:hanging="90"/>
      </w:pPr>
      <w:r w:rsidRPr="004F61F7">
        <w:rPr>
          <w:rStyle w:val="EndnoteReference"/>
          <w:sz w:val="18"/>
          <w:szCs w:val="18"/>
          <w:lang w:val="fr-CA"/>
        </w:rPr>
        <w:endnoteRef/>
      </w:r>
      <w:r w:rsidRPr="004F61F7">
        <w:rPr>
          <w:sz w:val="18"/>
          <w:szCs w:val="18"/>
          <w:lang w:val="fr-CA"/>
        </w:rPr>
        <w:t xml:space="preserve"> La Coalition CHU sans PPP. 9 juin 2009. « Non aux PPP pour les hôpitaux universitaires! » </w:t>
      </w:r>
      <w:proofErr w:type="gramStart"/>
      <w:r w:rsidRPr="00EC5B84">
        <w:rPr>
          <w:sz w:val="18"/>
          <w:szCs w:val="18"/>
        </w:rPr>
        <w:t xml:space="preserve">Site Web du </w:t>
      </w:r>
      <w:proofErr w:type="spellStart"/>
      <w:r w:rsidRPr="00EC5B84">
        <w:rPr>
          <w:sz w:val="18"/>
          <w:szCs w:val="18"/>
        </w:rPr>
        <w:t>groupe</w:t>
      </w:r>
      <w:proofErr w:type="spellEnd"/>
      <w:r w:rsidRPr="00EC5B84">
        <w:rPr>
          <w:sz w:val="18"/>
          <w:szCs w:val="18"/>
        </w:rPr>
        <w:t xml:space="preserve"> CNW; </w:t>
      </w:r>
      <w:proofErr w:type="spellStart"/>
      <w:r w:rsidRPr="00EC5B84">
        <w:rPr>
          <w:sz w:val="18"/>
          <w:szCs w:val="18"/>
        </w:rPr>
        <w:t>Rancourt</w:t>
      </w:r>
      <w:proofErr w:type="spellEnd"/>
      <w:r w:rsidRPr="00EC5B84">
        <w:rPr>
          <w:sz w:val="18"/>
          <w:szCs w:val="18"/>
        </w:rPr>
        <w:t>, Marie-Eve.</w:t>
      </w:r>
      <w:proofErr w:type="gramEnd"/>
      <w:r w:rsidRPr="00EC5B84">
        <w:rPr>
          <w:sz w:val="18"/>
          <w:szCs w:val="18"/>
        </w:rPr>
        <w:t xml:space="preserve"> </w:t>
      </w:r>
      <w:proofErr w:type="spellStart"/>
      <w:proofErr w:type="gramStart"/>
      <w:r w:rsidRPr="00EC5B84">
        <w:rPr>
          <w:sz w:val="18"/>
          <w:szCs w:val="18"/>
        </w:rPr>
        <w:t>Novembre</w:t>
      </w:r>
      <w:proofErr w:type="spellEnd"/>
      <w:r w:rsidRPr="00EC5B84">
        <w:rPr>
          <w:sz w:val="18"/>
          <w:szCs w:val="18"/>
        </w:rPr>
        <w:t xml:space="preserve"> 2010.</w:t>
      </w:r>
      <w:proofErr w:type="gramEnd"/>
      <w:r w:rsidRPr="00EC5B84">
        <w:rPr>
          <w:sz w:val="18"/>
          <w:szCs w:val="18"/>
        </w:rPr>
        <w:t xml:space="preserve"> « Coalition </w:t>
      </w:r>
      <w:proofErr w:type="gramStart"/>
      <w:r w:rsidRPr="00EC5B84">
        <w:rPr>
          <w:sz w:val="18"/>
          <w:szCs w:val="18"/>
        </w:rPr>
        <w:t>Against</w:t>
      </w:r>
      <w:proofErr w:type="gramEnd"/>
      <w:r w:rsidRPr="00EC5B84">
        <w:rPr>
          <w:sz w:val="18"/>
          <w:szCs w:val="18"/>
        </w:rPr>
        <w:t xml:space="preserve"> User Fees and the Privatization of Public Services ».</w:t>
      </w:r>
    </w:p>
  </w:endnote>
  <w:endnote w:id="10">
    <w:p w:rsidR="00A056D2" w:rsidRPr="00EC5B84" w:rsidRDefault="00A056D2" w:rsidP="00CF2693">
      <w:pPr>
        <w:pStyle w:val="EndnoteText"/>
        <w:ind w:left="90" w:hanging="90"/>
        <w:rPr>
          <w:lang w:val="fr-CA"/>
        </w:rPr>
      </w:pPr>
      <w:r w:rsidRPr="004F61F7">
        <w:rPr>
          <w:rStyle w:val="EndnoteReference"/>
          <w:sz w:val="18"/>
          <w:szCs w:val="18"/>
          <w:lang w:val="fr-CA"/>
        </w:rPr>
        <w:endnoteRef/>
      </w:r>
      <w:r w:rsidRPr="00EC5B84">
        <w:rPr>
          <w:sz w:val="18"/>
          <w:szCs w:val="18"/>
        </w:rPr>
        <w:t xml:space="preserve"> </w:t>
      </w:r>
      <w:proofErr w:type="spellStart"/>
      <w:r w:rsidRPr="00EC5B84">
        <w:rPr>
          <w:sz w:val="18"/>
          <w:szCs w:val="18"/>
        </w:rPr>
        <w:t>Mehra</w:t>
      </w:r>
      <w:proofErr w:type="spellEnd"/>
      <w:r w:rsidRPr="00EC5B84">
        <w:rPr>
          <w:sz w:val="18"/>
          <w:szCs w:val="18"/>
        </w:rPr>
        <w:t xml:space="preserve">, Natalie. </w:t>
      </w:r>
      <w:proofErr w:type="gramStart"/>
      <w:r w:rsidRPr="00EC5B84">
        <w:rPr>
          <w:sz w:val="18"/>
          <w:szCs w:val="18"/>
        </w:rPr>
        <w:t>10 </w:t>
      </w:r>
      <w:proofErr w:type="spellStart"/>
      <w:r w:rsidRPr="00EC5B84">
        <w:rPr>
          <w:sz w:val="18"/>
          <w:szCs w:val="18"/>
        </w:rPr>
        <w:t>décembre</w:t>
      </w:r>
      <w:proofErr w:type="spellEnd"/>
      <w:r w:rsidRPr="00EC5B84">
        <w:rPr>
          <w:sz w:val="18"/>
          <w:szCs w:val="18"/>
        </w:rPr>
        <w:t> 2007.</w:t>
      </w:r>
      <w:proofErr w:type="gramEnd"/>
      <w:r w:rsidRPr="00EC5B84">
        <w:rPr>
          <w:sz w:val="18"/>
          <w:szCs w:val="18"/>
        </w:rPr>
        <w:t xml:space="preserve"> </w:t>
      </w:r>
      <w:r w:rsidRPr="00EC5B84">
        <w:rPr>
          <w:i/>
          <w:sz w:val="18"/>
          <w:szCs w:val="18"/>
        </w:rPr>
        <w:t>The</w:t>
      </w:r>
      <w:r w:rsidRPr="00EC5B84">
        <w:rPr>
          <w:sz w:val="18"/>
          <w:szCs w:val="18"/>
        </w:rPr>
        <w:t xml:space="preserve"> </w:t>
      </w:r>
      <w:r w:rsidRPr="00EC5B84">
        <w:rPr>
          <w:i/>
          <w:sz w:val="18"/>
          <w:szCs w:val="18"/>
        </w:rPr>
        <w:t>Pulse: Update: Brampton P3 Hospital Target of Massive Community Unrest</w:t>
      </w:r>
      <w:r w:rsidRPr="00EC5B84">
        <w:rPr>
          <w:sz w:val="18"/>
          <w:szCs w:val="18"/>
        </w:rPr>
        <w:t xml:space="preserve">. </w:t>
      </w:r>
      <w:r>
        <w:rPr>
          <w:sz w:val="18"/>
          <w:szCs w:val="18"/>
          <w:lang w:val="fr-CA"/>
        </w:rPr>
        <w:t>Coalition ontarienne de la santé</w:t>
      </w:r>
      <w:r w:rsidRPr="004F61F7">
        <w:rPr>
          <w:sz w:val="18"/>
          <w:szCs w:val="18"/>
          <w:lang w:val="fr-CA"/>
        </w:rPr>
        <w:t>.</w:t>
      </w:r>
    </w:p>
  </w:endnote>
  <w:endnote w:id="11">
    <w:p w:rsidR="00A056D2" w:rsidRPr="00531B59" w:rsidRDefault="00A056D2">
      <w:pPr>
        <w:pStyle w:val="EndnoteText"/>
        <w:rPr>
          <w:lang w:val="fr-CA"/>
        </w:rPr>
      </w:pPr>
      <w:r w:rsidRPr="004F61F7">
        <w:rPr>
          <w:rStyle w:val="EndnoteReference"/>
          <w:sz w:val="18"/>
          <w:szCs w:val="18"/>
          <w:lang w:val="fr-CA"/>
        </w:rPr>
        <w:endnoteRef/>
      </w:r>
      <w:r w:rsidRPr="004F61F7">
        <w:rPr>
          <w:sz w:val="18"/>
          <w:szCs w:val="18"/>
          <w:lang w:val="fr-CA"/>
        </w:rPr>
        <w:t xml:space="preserve"> Site Web de la BC </w:t>
      </w:r>
      <w:proofErr w:type="spellStart"/>
      <w:r w:rsidRPr="004F61F7">
        <w:rPr>
          <w:sz w:val="18"/>
          <w:szCs w:val="18"/>
          <w:lang w:val="fr-CA"/>
        </w:rPr>
        <w:t>Health</w:t>
      </w:r>
      <w:proofErr w:type="spellEnd"/>
      <w:r w:rsidRPr="004F61F7">
        <w:rPr>
          <w:sz w:val="18"/>
          <w:szCs w:val="18"/>
          <w:lang w:val="fr-CA"/>
        </w:rPr>
        <w:t xml:space="preserve">. 11 décembre 2009. </w:t>
      </w:r>
      <w:hyperlink r:id="rId1" w:history="1">
        <w:r w:rsidRPr="00531B59">
          <w:rPr>
            <w:rStyle w:val="Hyperlink"/>
            <w:sz w:val="18"/>
            <w:szCs w:val="18"/>
            <w:lang w:val="fr-CA"/>
          </w:rPr>
          <w:t>http://www.bchealthcoalition.ca/content/view/86/30/</w:t>
        </w:r>
      </w:hyperlink>
      <w:r w:rsidRPr="00531B59">
        <w:rPr>
          <w:sz w:val="18"/>
          <w:szCs w:val="18"/>
          <w:lang w:val="fr-CA"/>
        </w:rPr>
        <w:t>.</w:t>
      </w:r>
    </w:p>
  </w:endnote>
  <w:endnote w:id="12">
    <w:p w:rsidR="00A056D2" w:rsidRDefault="00A056D2" w:rsidP="00CF2693">
      <w:pPr>
        <w:pStyle w:val="EndnoteText"/>
        <w:ind w:left="90" w:hanging="90"/>
      </w:pPr>
      <w:r w:rsidRPr="004F61F7">
        <w:rPr>
          <w:rStyle w:val="EndnoteReference"/>
          <w:sz w:val="18"/>
          <w:szCs w:val="18"/>
          <w:lang w:val="fr-CA"/>
        </w:rPr>
        <w:endnoteRef/>
      </w:r>
      <w:r w:rsidRPr="00EC5B84">
        <w:rPr>
          <w:sz w:val="18"/>
          <w:szCs w:val="18"/>
        </w:rPr>
        <w:t xml:space="preserve"> </w:t>
      </w:r>
      <w:proofErr w:type="gramStart"/>
      <w:r w:rsidRPr="00EC5B84">
        <w:rPr>
          <w:sz w:val="18"/>
          <w:szCs w:val="18"/>
        </w:rPr>
        <w:t xml:space="preserve">Silversides, Ann. </w:t>
      </w:r>
      <w:proofErr w:type="spellStart"/>
      <w:r w:rsidRPr="00EC5B84">
        <w:rPr>
          <w:sz w:val="18"/>
          <w:szCs w:val="18"/>
        </w:rPr>
        <w:t>Octobre</w:t>
      </w:r>
      <w:proofErr w:type="spellEnd"/>
      <w:r w:rsidRPr="00EC5B84">
        <w:rPr>
          <w:sz w:val="18"/>
          <w:szCs w:val="18"/>
        </w:rPr>
        <w:t xml:space="preserve"> 2008.</w:t>
      </w:r>
      <w:proofErr w:type="gramEnd"/>
      <w:r w:rsidRPr="00EC5B84">
        <w:rPr>
          <w:sz w:val="18"/>
          <w:szCs w:val="18"/>
        </w:rPr>
        <w:t xml:space="preserve"> « Public-private partnerships, part 1: the next hospital wave » </w:t>
      </w:r>
      <w:proofErr w:type="spellStart"/>
      <w:r w:rsidRPr="00EC5B84">
        <w:rPr>
          <w:sz w:val="18"/>
          <w:szCs w:val="18"/>
        </w:rPr>
        <w:t>dans</w:t>
      </w:r>
      <w:proofErr w:type="spellEnd"/>
      <w:r w:rsidRPr="00EC5B84">
        <w:rPr>
          <w:sz w:val="18"/>
          <w:szCs w:val="18"/>
        </w:rPr>
        <w:t xml:space="preserve"> </w:t>
      </w:r>
      <w:r w:rsidRPr="00EC5B84">
        <w:rPr>
          <w:i/>
          <w:sz w:val="18"/>
          <w:szCs w:val="18"/>
        </w:rPr>
        <w:t>Canadian Medical Association Journal</w:t>
      </w:r>
      <w:r w:rsidRPr="00EC5B84">
        <w:rPr>
          <w:sz w:val="18"/>
          <w:szCs w:val="18"/>
        </w:rPr>
        <w:t>.</w:t>
      </w:r>
    </w:p>
  </w:endnote>
  <w:endnote w:id="13">
    <w:p w:rsidR="00A056D2" w:rsidRDefault="00A056D2" w:rsidP="00CF2693">
      <w:pPr>
        <w:pStyle w:val="EndnoteText"/>
        <w:ind w:left="90" w:hanging="90"/>
      </w:pPr>
      <w:r w:rsidRPr="004F61F7">
        <w:rPr>
          <w:rStyle w:val="EndnoteReference"/>
          <w:sz w:val="18"/>
          <w:szCs w:val="18"/>
          <w:lang w:val="fr-CA"/>
        </w:rPr>
        <w:endnoteRef/>
      </w:r>
      <w:r w:rsidRPr="004F61F7">
        <w:rPr>
          <w:sz w:val="18"/>
          <w:szCs w:val="18"/>
          <w:lang w:val="fr-CA"/>
        </w:rPr>
        <w:t xml:space="preserve"> Fondation canadienne de la recherche sur les services de </w:t>
      </w:r>
      <w:proofErr w:type="spellStart"/>
      <w:r w:rsidRPr="004F61F7">
        <w:rPr>
          <w:sz w:val="18"/>
          <w:szCs w:val="18"/>
          <w:lang w:val="fr-CA"/>
        </w:rPr>
        <w:t>sant</w:t>
      </w:r>
      <w:proofErr w:type="spellEnd"/>
      <w:r w:rsidRPr="004F61F7">
        <w:rPr>
          <w:sz w:val="18"/>
          <w:szCs w:val="18"/>
          <w:lang w:val="fr-CA"/>
        </w:rPr>
        <w:t xml:space="preserve">. </w:t>
      </w:r>
      <w:proofErr w:type="gramStart"/>
      <w:r w:rsidRPr="00EC5B84">
        <w:rPr>
          <w:sz w:val="18"/>
          <w:szCs w:val="18"/>
        </w:rPr>
        <w:t>Mars 2004.</w:t>
      </w:r>
      <w:proofErr w:type="gramEnd"/>
      <w:r w:rsidRPr="00EC5B84">
        <w:rPr>
          <w:sz w:val="18"/>
          <w:szCs w:val="18"/>
        </w:rPr>
        <w:t xml:space="preserve"> « Myth: For-Profit Ownerships of Facilities Would Lead to a More Efficient Healthcare System » </w:t>
      </w:r>
      <w:proofErr w:type="spellStart"/>
      <w:r w:rsidRPr="00EC5B84">
        <w:rPr>
          <w:sz w:val="18"/>
          <w:szCs w:val="18"/>
        </w:rPr>
        <w:t>dans</w:t>
      </w:r>
      <w:proofErr w:type="spellEnd"/>
      <w:r w:rsidRPr="00EC5B84">
        <w:rPr>
          <w:sz w:val="18"/>
          <w:szCs w:val="18"/>
        </w:rPr>
        <w:t xml:space="preserve"> Armstrong, Pat </w:t>
      </w:r>
      <w:proofErr w:type="gramStart"/>
      <w:r w:rsidRPr="00EC5B84">
        <w:rPr>
          <w:sz w:val="18"/>
          <w:szCs w:val="18"/>
        </w:rPr>
        <w:t>et</w:t>
      </w:r>
      <w:proofErr w:type="gramEnd"/>
      <w:r w:rsidRPr="00EC5B84">
        <w:rPr>
          <w:sz w:val="18"/>
          <w:szCs w:val="18"/>
        </w:rPr>
        <w:t xml:space="preserve"> Hugh Armstrong. </w:t>
      </w:r>
      <w:r w:rsidRPr="00327171">
        <w:rPr>
          <w:sz w:val="18"/>
          <w:szCs w:val="18"/>
        </w:rPr>
        <w:t xml:space="preserve">2008. </w:t>
      </w:r>
      <w:proofErr w:type="gramStart"/>
      <w:r w:rsidRPr="00327171">
        <w:rPr>
          <w:i/>
          <w:sz w:val="18"/>
          <w:szCs w:val="18"/>
        </w:rPr>
        <w:t>About</w:t>
      </w:r>
      <w:proofErr w:type="gramEnd"/>
      <w:r w:rsidRPr="00327171">
        <w:rPr>
          <w:i/>
          <w:sz w:val="18"/>
          <w:szCs w:val="18"/>
        </w:rPr>
        <w:t xml:space="preserve"> Canada: Health Care</w:t>
      </w:r>
      <w:r w:rsidRPr="00327171">
        <w:rPr>
          <w:sz w:val="18"/>
          <w:szCs w:val="18"/>
        </w:rPr>
        <w:t xml:space="preserve">. </w:t>
      </w:r>
      <w:proofErr w:type="spellStart"/>
      <w:r w:rsidRPr="00EC5B84">
        <w:rPr>
          <w:sz w:val="18"/>
          <w:szCs w:val="18"/>
        </w:rPr>
        <w:t>Fernwood</w:t>
      </w:r>
      <w:proofErr w:type="spellEnd"/>
      <w:r w:rsidRPr="00EC5B84">
        <w:rPr>
          <w:sz w:val="18"/>
          <w:szCs w:val="18"/>
        </w:rPr>
        <w:t xml:space="preserve"> Publishing. </w:t>
      </w:r>
      <w:proofErr w:type="gramStart"/>
      <w:r w:rsidRPr="00EC5B84">
        <w:rPr>
          <w:sz w:val="18"/>
          <w:szCs w:val="18"/>
        </w:rPr>
        <w:t>p. 123.</w:t>
      </w:r>
      <w:proofErr w:type="gramEnd"/>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D2" w:rsidRPr="00EC5B84" w:rsidRDefault="00F354BD" w:rsidP="00BE5282">
    <w:pPr>
      <w:pStyle w:val="Footer"/>
      <w:pBdr>
        <w:top w:val="double" w:sz="4" w:space="1" w:color="auto"/>
      </w:pBdr>
      <w:rPr>
        <w:lang w:val="fr-CA"/>
      </w:rPr>
    </w:pPr>
    <w:r>
      <w:rPr>
        <w:b/>
        <w:noProof/>
      </w:rPr>
      <w:drawing>
        <wp:anchor distT="0" distB="0" distL="114300" distR="114300" simplePos="0" relativeHeight="251660288" behindDoc="1" locked="1" layoutInCell="1" allowOverlap="1">
          <wp:simplePos x="0" y="0"/>
          <wp:positionH relativeFrom="column">
            <wp:posOffset>4727575</wp:posOffset>
          </wp:positionH>
          <wp:positionV relativeFrom="paragraph">
            <wp:posOffset>64135</wp:posOffset>
          </wp:positionV>
          <wp:extent cx="1158875" cy="256540"/>
          <wp:effectExtent l="19050" t="0" r="3175" b="0"/>
          <wp:wrapTight wrapText="bothSides">
            <wp:wrapPolygon edited="0">
              <wp:start x="-355" y="0"/>
              <wp:lineTo x="-355" y="19248"/>
              <wp:lineTo x="21659" y="19248"/>
              <wp:lineTo x="21659" y="0"/>
              <wp:lineTo x="-355" y="0"/>
            </wp:wrapPolygon>
          </wp:wrapTight>
          <wp:docPr id="9" name="Picture 9" descr="SCFP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FP_bw"/>
                  <pic:cNvPicPr>
                    <a:picLocks noChangeAspect="1" noChangeArrowheads="1"/>
                  </pic:cNvPicPr>
                </pic:nvPicPr>
                <pic:blipFill>
                  <a:blip r:embed="rId1"/>
                  <a:srcRect/>
                  <a:stretch>
                    <a:fillRect/>
                  </a:stretch>
                </pic:blipFill>
                <pic:spPr bwMode="auto">
                  <a:xfrm>
                    <a:off x="0" y="0"/>
                    <a:ext cx="1158875" cy="256540"/>
                  </a:xfrm>
                  <a:prstGeom prst="rect">
                    <a:avLst/>
                  </a:prstGeom>
                  <a:noFill/>
                </pic:spPr>
              </pic:pic>
            </a:graphicData>
          </a:graphic>
        </wp:anchor>
      </w:drawing>
    </w:r>
    <w:r w:rsidR="00A056D2" w:rsidRPr="002D27F5">
      <w:rPr>
        <w:b/>
        <w:lang w:val="fr-CA"/>
      </w:rPr>
      <w:t>Service de la recherche du SCFP</w:t>
    </w:r>
    <w:r w:rsidR="00A056D2">
      <w:rPr>
        <w:lang w:val="fr-CA"/>
      </w:rPr>
      <w:tab/>
    </w:r>
    <w:r w:rsidR="00A056D2">
      <w:rPr>
        <w:lang w:val="fr-C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D2" w:rsidRPr="00C410E7" w:rsidRDefault="00A056D2" w:rsidP="006F3BBD">
    <w:pPr>
      <w:pStyle w:val="Footer"/>
      <w:pBdr>
        <w:top w:val="double" w:sz="4" w:space="1" w:color="auto"/>
      </w:pBdr>
      <w:ind w:left="-90"/>
      <w:rPr>
        <w:sz w:val="20"/>
        <w:szCs w:val="20"/>
        <w:lang w:val="fr-CA"/>
      </w:rPr>
    </w:pPr>
    <w:r w:rsidRPr="00C410E7">
      <w:rPr>
        <w:b/>
        <w:sz w:val="20"/>
        <w:szCs w:val="20"/>
        <w:lang w:val="fr-CA"/>
      </w:rPr>
      <w:t>Service de la recherche du SCFP</w:t>
    </w:r>
    <w:r w:rsidRPr="00C410E7">
      <w:rPr>
        <w:sz w:val="20"/>
        <w:szCs w:val="20"/>
        <w:lang w:val="fr-CA"/>
      </w:rPr>
      <w:tab/>
    </w:r>
    <w:r w:rsidRPr="00C410E7">
      <w:rPr>
        <w:sz w:val="20"/>
        <w:szCs w:val="20"/>
        <w:lang w:val="fr-CA"/>
      </w:rPr>
      <w:tab/>
    </w:r>
    <w:r w:rsidR="00F354BD">
      <w:rPr>
        <w:noProof/>
      </w:rPr>
      <w:drawing>
        <wp:anchor distT="0" distB="0" distL="114300" distR="114300" simplePos="0" relativeHeight="251658240" behindDoc="1" locked="1" layoutInCell="1" allowOverlap="1">
          <wp:simplePos x="0" y="0"/>
          <wp:positionH relativeFrom="column">
            <wp:posOffset>5052060</wp:posOffset>
          </wp:positionH>
          <wp:positionV relativeFrom="paragraph">
            <wp:posOffset>71755</wp:posOffset>
          </wp:positionV>
          <wp:extent cx="869950" cy="228600"/>
          <wp:effectExtent l="19050" t="0" r="6350" b="0"/>
          <wp:wrapTight wrapText="bothSides">
            <wp:wrapPolygon edited="0">
              <wp:start x="-473" y="0"/>
              <wp:lineTo x="-473" y="19800"/>
              <wp:lineTo x="21758" y="19800"/>
              <wp:lineTo x="21758" y="0"/>
              <wp:lineTo x="-473" y="0"/>
            </wp:wrapPolygon>
          </wp:wrapTight>
          <wp:docPr id="4" name="Picture 4" descr="CUPE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PE_bw"/>
                  <pic:cNvPicPr>
                    <a:picLocks noChangeAspect="1" noChangeArrowheads="1"/>
                  </pic:cNvPicPr>
                </pic:nvPicPr>
                <pic:blipFill>
                  <a:blip r:embed="rId1"/>
                  <a:srcRect/>
                  <a:stretch>
                    <a:fillRect/>
                  </a:stretch>
                </pic:blipFill>
                <pic:spPr bwMode="auto">
                  <a:xfrm>
                    <a:off x="0" y="0"/>
                    <a:ext cx="869950" cy="22860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6D2" w:rsidRDefault="00A056D2" w:rsidP="00CB1CF1">
      <w:pPr>
        <w:spacing w:after="0" w:line="240" w:lineRule="auto"/>
      </w:pPr>
      <w:r>
        <w:separator/>
      </w:r>
    </w:p>
  </w:footnote>
  <w:footnote w:type="continuationSeparator" w:id="0">
    <w:p w:rsidR="00A056D2" w:rsidRDefault="00A056D2" w:rsidP="00CB1C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D2" w:rsidRPr="009B490A" w:rsidRDefault="00A056D2" w:rsidP="004236E7">
    <w:pPr>
      <w:pStyle w:val="Header"/>
      <w:pBdr>
        <w:bottom w:val="double" w:sz="4" w:space="1" w:color="auto"/>
      </w:pBdr>
      <w:jc w:val="right"/>
      <w:rPr>
        <w:sz w:val="20"/>
        <w:szCs w:val="20"/>
        <w:lang w:val="fr-CA"/>
      </w:rPr>
    </w:pPr>
    <w:r w:rsidRPr="009B490A">
      <w:rPr>
        <w:rFonts w:cs="Arial"/>
        <w:b/>
        <w:sz w:val="20"/>
        <w:szCs w:val="20"/>
        <w:lang w:val="fr-CA"/>
      </w:rPr>
      <w:t>Les hôpitaux en PPP</w:t>
    </w:r>
    <w:r>
      <w:rPr>
        <w:rFonts w:cs="Arial"/>
        <w:b/>
        <w:sz w:val="20"/>
        <w:szCs w:val="20"/>
        <w:lang w:val="fr-CA"/>
      </w:rPr>
      <w:t> : U</w:t>
    </w:r>
    <w:r w:rsidRPr="009B490A">
      <w:rPr>
        <w:rFonts w:cs="Arial"/>
        <w:b/>
        <w:sz w:val="20"/>
        <w:szCs w:val="20"/>
        <w:lang w:val="fr-CA"/>
      </w:rPr>
      <w:t xml:space="preserve">ne </w:t>
    </w:r>
    <w:r>
      <w:rPr>
        <w:rFonts w:cs="Arial"/>
        <w:b/>
        <w:sz w:val="20"/>
        <w:szCs w:val="20"/>
        <w:lang w:val="fr-CA"/>
      </w:rPr>
      <w:t>mauvaise</w:t>
    </w:r>
    <w:r w:rsidRPr="009B490A">
      <w:rPr>
        <w:rFonts w:cs="Arial"/>
        <w:b/>
        <w:sz w:val="20"/>
        <w:szCs w:val="20"/>
        <w:lang w:val="fr-CA"/>
      </w:rPr>
      <w:t xml:space="preserve"> solution</w:t>
    </w:r>
    <w:r w:rsidR="006651D2">
      <w:rPr>
        <w:rFonts w:cs="Arial"/>
        <w:b/>
        <w:sz w:val="20"/>
        <w:szCs w:val="20"/>
        <w:lang w:val="fr-CA"/>
      </w:rPr>
      <w:t xml:space="preserve"> – Résumé </w:t>
    </w:r>
    <w:r w:rsidRPr="009B490A">
      <w:rPr>
        <w:sz w:val="20"/>
        <w:szCs w:val="20"/>
        <w:lang w:val="fr-CA"/>
      </w:rPr>
      <w:tab/>
    </w:r>
    <w:r w:rsidRPr="009B490A">
      <w:rPr>
        <w:sz w:val="20"/>
        <w:szCs w:val="20"/>
        <w:lang w:val="fr-CA"/>
      </w:rPr>
      <w:tab/>
    </w:r>
    <w:r w:rsidR="00212903" w:rsidRPr="009B490A">
      <w:rPr>
        <w:sz w:val="20"/>
        <w:szCs w:val="20"/>
        <w:lang w:val="fr-CA"/>
      </w:rPr>
      <w:fldChar w:fldCharType="begin"/>
    </w:r>
    <w:r w:rsidRPr="009B490A">
      <w:rPr>
        <w:sz w:val="20"/>
        <w:szCs w:val="20"/>
        <w:lang w:val="fr-CA"/>
      </w:rPr>
      <w:instrText xml:space="preserve"> PAGE   \* MERGEFORMAT </w:instrText>
    </w:r>
    <w:r w:rsidR="00212903" w:rsidRPr="009B490A">
      <w:rPr>
        <w:sz w:val="20"/>
        <w:szCs w:val="20"/>
        <w:lang w:val="fr-CA"/>
      </w:rPr>
      <w:fldChar w:fldCharType="separate"/>
    </w:r>
    <w:r w:rsidR="001C0535">
      <w:rPr>
        <w:noProof/>
        <w:sz w:val="20"/>
        <w:szCs w:val="20"/>
        <w:lang w:val="fr-CA"/>
      </w:rPr>
      <w:t>2</w:t>
    </w:r>
    <w:r w:rsidR="00212903" w:rsidRPr="009B490A">
      <w:rPr>
        <w:sz w:val="20"/>
        <w:szCs w:val="20"/>
        <w:lang w:val="fr-C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535" w:rsidRPr="009B490A" w:rsidRDefault="001C0535" w:rsidP="001C0535">
    <w:pPr>
      <w:pStyle w:val="Header"/>
      <w:pBdr>
        <w:bottom w:val="double" w:sz="4" w:space="1" w:color="auto"/>
      </w:pBdr>
      <w:jc w:val="right"/>
      <w:rPr>
        <w:sz w:val="20"/>
        <w:szCs w:val="20"/>
        <w:lang w:val="fr-CA"/>
      </w:rPr>
    </w:pPr>
    <w:r w:rsidRPr="009B490A">
      <w:rPr>
        <w:rFonts w:cs="Arial"/>
        <w:b/>
        <w:sz w:val="20"/>
        <w:szCs w:val="20"/>
        <w:lang w:val="fr-CA"/>
      </w:rPr>
      <w:t>Les hôpitaux en PPP</w:t>
    </w:r>
    <w:r>
      <w:rPr>
        <w:rFonts w:cs="Arial"/>
        <w:b/>
        <w:sz w:val="20"/>
        <w:szCs w:val="20"/>
        <w:lang w:val="fr-CA"/>
      </w:rPr>
      <w:t> : U</w:t>
    </w:r>
    <w:r w:rsidRPr="009B490A">
      <w:rPr>
        <w:rFonts w:cs="Arial"/>
        <w:b/>
        <w:sz w:val="20"/>
        <w:szCs w:val="20"/>
        <w:lang w:val="fr-CA"/>
      </w:rPr>
      <w:t xml:space="preserve">ne </w:t>
    </w:r>
    <w:r>
      <w:rPr>
        <w:rFonts w:cs="Arial"/>
        <w:b/>
        <w:sz w:val="20"/>
        <w:szCs w:val="20"/>
        <w:lang w:val="fr-CA"/>
      </w:rPr>
      <w:t>mauvaise</w:t>
    </w:r>
    <w:r w:rsidRPr="009B490A">
      <w:rPr>
        <w:rFonts w:cs="Arial"/>
        <w:b/>
        <w:sz w:val="20"/>
        <w:szCs w:val="20"/>
        <w:lang w:val="fr-CA"/>
      </w:rPr>
      <w:t xml:space="preserve"> solution</w:t>
    </w:r>
    <w:r>
      <w:rPr>
        <w:rFonts w:cs="Arial"/>
        <w:b/>
        <w:sz w:val="20"/>
        <w:szCs w:val="20"/>
        <w:lang w:val="fr-CA"/>
      </w:rPr>
      <w:t xml:space="preserve"> – Résumé </w:t>
    </w:r>
    <w:r w:rsidRPr="009B490A">
      <w:rPr>
        <w:sz w:val="20"/>
        <w:szCs w:val="20"/>
        <w:lang w:val="fr-CA"/>
      </w:rPr>
      <w:tab/>
    </w:r>
    <w:r w:rsidRPr="009B490A">
      <w:rPr>
        <w:sz w:val="20"/>
        <w:szCs w:val="20"/>
        <w:lang w:val="fr-CA"/>
      </w:rPr>
      <w:tab/>
    </w:r>
    <w:r w:rsidRPr="009B490A">
      <w:rPr>
        <w:sz w:val="20"/>
        <w:szCs w:val="20"/>
        <w:lang w:val="fr-CA"/>
      </w:rPr>
      <w:fldChar w:fldCharType="begin"/>
    </w:r>
    <w:r w:rsidRPr="009B490A">
      <w:rPr>
        <w:sz w:val="20"/>
        <w:szCs w:val="20"/>
        <w:lang w:val="fr-CA"/>
      </w:rPr>
      <w:instrText xml:space="preserve"> PAGE   \* MERGEFORMAT </w:instrText>
    </w:r>
    <w:r w:rsidRPr="009B490A">
      <w:rPr>
        <w:sz w:val="20"/>
        <w:szCs w:val="20"/>
        <w:lang w:val="fr-CA"/>
      </w:rPr>
      <w:fldChar w:fldCharType="separate"/>
    </w:r>
    <w:r>
      <w:rPr>
        <w:noProof/>
        <w:sz w:val="20"/>
        <w:szCs w:val="20"/>
        <w:lang w:val="fr-CA"/>
      </w:rPr>
      <w:t>7</w:t>
    </w:r>
    <w:r w:rsidRPr="009B490A">
      <w:rPr>
        <w:sz w:val="20"/>
        <w:szCs w:val="20"/>
        <w:lang w:val="fr-CA"/>
      </w:rPr>
      <w:fldChar w:fldCharType="end"/>
    </w:r>
  </w:p>
  <w:p w:rsidR="00A056D2" w:rsidRPr="001C0535" w:rsidRDefault="00A056D2" w:rsidP="001C0535">
    <w:pPr>
      <w:pStyle w:val="Header"/>
      <w:rPr>
        <w:szCs w:val="20"/>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D570A"/>
    <w:multiLevelType w:val="hybridMultilevel"/>
    <w:tmpl w:val="B90CB74A"/>
    <w:lvl w:ilvl="0" w:tplc="B516C502">
      <w:numFmt w:val="bullet"/>
      <w:lvlText w:val=""/>
      <w:lvlJc w:val="left"/>
      <w:pPr>
        <w:ind w:left="720" w:hanging="360"/>
      </w:pPr>
      <w:rPr>
        <w:rFonts w:ascii="Wingdings 3" w:eastAsia="Times New Roman"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0016F"/>
    <w:multiLevelType w:val="hybridMultilevel"/>
    <w:tmpl w:val="45EE2FFE"/>
    <w:lvl w:ilvl="0" w:tplc="6A84A9C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0A060F"/>
    <w:multiLevelType w:val="hybridMultilevel"/>
    <w:tmpl w:val="41C44A00"/>
    <w:lvl w:ilvl="0" w:tplc="B516C502">
      <w:numFmt w:val="bullet"/>
      <w:lvlText w:val=""/>
      <w:lvlJc w:val="left"/>
      <w:pPr>
        <w:ind w:left="720" w:hanging="360"/>
      </w:pPr>
      <w:rPr>
        <w:rFonts w:ascii="Wingdings 3" w:eastAsia="Times New Roman"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871D0"/>
    <w:multiLevelType w:val="hybridMultilevel"/>
    <w:tmpl w:val="F7EEF63A"/>
    <w:lvl w:ilvl="0" w:tplc="10090017">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nsid w:val="32C8508F"/>
    <w:multiLevelType w:val="hybridMultilevel"/>
    <w:tmpl w:val="7BA01AFC"/>
    <w:lvl w:ilvl="0" w:tplc="67801B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9D6653A"/>
    <w:multiLevelType w:val="hybridMultilevel"/>
    <w:tmpl w:val="77D6E4A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1045119"/>
    <w:multiLevelType w:val="hybridMultilevel"/>
    <w:tmpl w:val="CE54F0D8"/>
    <w:lvl w:ilvl="0" w:tplc="B516C502">
      <w:numFmt w:val="bullet"/>
      <w:lvlText w:val=""/>
      <w:lvlJc w:val="left"/>
      <w:pPr>
        <w:ind w:left="720" w:hanging="360"/>
      </w:pPr>
      <w:rPr>
        <w:rFonts w:ascii="Wingdings 3" w:eastAsia="Times New Roman"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3E6295"/>
    <w:multiLevelType w:val="hybridMultilevel"/>
    <w:tmpl w:val="BE460D12"/>
    <w:lvl w:ilvl="0" w:tplc="10090017">
      <w:start w:val="1"/>
      <w:numFmt w:val="lowerLetter"/>
      <w:lvlText w:val="%1)"/>
      <w:lvlJc w:val="left"/>
      <w:pPr>
        <w:ind w:left="630" w:hanging="360"/>
      </w:pPr>
      <w:rPr>
        <w:rFonts w:cs="Times New Roman" w:hint="default"/>
      </w:rPr>
    </w:lvl>
    <w:lvl w:ilvl="1" w:tplc="10090019" w:tentative="1">
      <w:start w:val="1"/>
      <w:numFmt w:val="lowerLetter"/>
      <w:lvlText w:val="%2."/>
      <w:lvlJc w:val="left"/>
      <w:pPr>
        <w:ind w:left="1350" w:hanging="360"/>
      </w:pPr>
      <w:rPr>
        <w:rFonts w:cs="Times New Roman"/>
      </w:rPr>
    </w:lvl>
    <w:lvl w:ilvl="2" w:tplc="1009001B" w:tentative="1">
      <w:start w:val="1"/>
      <w:numFmt w:val="lowerRoman"/>
      <w:lvlText w:val="%3."/>
      <w:lvlJc w:val="right"/>
      <w:pPr>
        <w:ind w:left="2070" w:hanging="180"/>
      </w:pPr>
      <w:rPr>
        <w:rFonts w:cs="Times New Roman"/>
      </w:rPr>
    </w:lvl>
    <w:lvl w:ilvl="3" w:tplc="1009000F" w:tentative="1">
      <w:start w:val="1"/>
      <w:numFmt w:val="decimal"/>
      <w:lvlText w:val="%4."/>
      <w:lvlJc w:val="left"/>
      <w:pPr>
        <w:ind w:left="2790" w:hanging="360"/>
      </w:pPr>
      <w:rPr>
        <w:rFonts w:cs="Times New Roman"/>
      </w:rPr>
    </w:lvl>
    <w:lvl w:ilvl="4" w:tplc="10090019" w:tentative="1">
      <w:start w:val="1"/>
      <w:numFmt w:val="lowerLetter"/>
      <w:lvlText w:val="%5."/>
      <w:lvlJc w:val="left"/>
      <w:pPr>
        <w:ind w:left="3510" w:hanging="360"/>
      </w:pPr>
      <w:rPr>
        <w:rFonts w:cs="Times New Roman"/>
      </w:rPr>
    </w:lvl>
    <w:lvl w:ilvl="5" w:tplc="1009001B" w:tentative="1">
      <w:start w:val="1"/>
      <w:numFmt w:val="lowerRoman"/>
      <w:lvlText w:val="%6."/>
      <w:lvlJc w:val="right"/>
      <w:pPr>
        <w:ind w:left="4230" w:hanging="180"/>
      </w:pPr>
      <w:rPr>
        <w:rFonts w:cs="Times New Roman"/>
      </w:rPr>
    </w:lvl>
    <w:lvl w:ilvl="6" w:tplc="1009000F" w:tentative="1">
      <w:start w:val="1"/>
      <w:numFmt w:val="decimal"/>
      <w:lvlText w:val="%7."/>
      <w:lvlJc w:val="left"/>
      <w:pPr>
        <w:ind w:left="4950" w:hanging="360"/>
      </w:pPr>
      <w:rPr>
        <w:rFonts w:cs="Times New Roman"/>
      </w:rPr>
    </w:lvl>
    <w:lvl w:ilvl="7" w:tplc="10090019" w:tentative="1">
      <w:start w:val="1"/>
      <w:numFmt w:val="lowerLetter"/>
      <w:lvlText w:val="%8."/>
      <w:lvlJc w:val="left"/>
      <w:pPr>
        <w:ind w:left="5670" w:hanging="360"/>
      </w:pPr>
      <w:rPr>
        <w:rFonts w:cs="Times New Roman"/>
      </w:rPr>
    </w:lvl>
    <w:lvl w:ilvl="8" w:tplc="1009001B" w:tentative="1">
      <w:start w:val="1"/>
      <w:numFmt w:val="lowerRoman"/>
      <w:lvlText w:val="%9."/>
      <w:lvlJc w:val="right"/>
      <w:pPr>
        <w:ind w:left="6390" w:hanging="180"/>
      </w:pPr>
      <w:rPr>
        <w:rFonts w:cs="Times New Roman"/>
      </w:rPr>
    </w:lvl>
  </w:abstractNum>
  <w:abstractNum w:abstractNumId="8">
    <w:nsid w:val="62E82E41"/>
    <w:multiLevelType w:val="hybridMultilevel"/>
    <w:tmpl w:val="72AA6B02"/>
    <w:lvl w:ilvl="0" w:tplc="9D10FFD0">
      <w:start w:val="3"/>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67796470"/>
    <w:multiLevelType w:val="hybridMultilevel"/>
    <w:tmpl w:val="E31431D4"/>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0">
    <w:nsid w:val="7A7F3E7D"/>
    <w:multiLevelType w:val="hybridMultilevel"/>
    <w:tmpl w:val="F24005B4"/>
    <w:lvl w:ilvl="0" w:tplc="B516C502">
      <w:numFmt w:val="bullet"/>
      <w:lvlText w:val=""/>
      <w:lvlJc w:val="left"/>
      <w:pPr>
        <w:ind w:left="1080" w:hanging="360"/>
      </w:pPr>
      <w:rPr>
        <w:rFonts w:ascii="Wingdings 3" w:eastAsia="Times New Roman" w:hAnsi="Wingdings 3"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8"/>
  </w:num>
  <w:num w:numId="6">
    <w:abstractNumId w:val="5"/>
  </w:num>
  <w:num w:numId="7">
    <w:abstractNumId w:val="2"/>
  </w:num>
  <w:num w:numId="8">
    <w:abstractNumId w:val="6"/>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hyphenationZone w:val="425"/>
  <w:drawingGridHorizontalSpacing w:val="110"/>
  <w:displayHorizontalDrawingGridEvery w:val="2"/>
  <w:characterSpacingControl w:val="doNotCompress"/>
  <w:hdrShapeDefaults>
    <o:shapedefaults v:ext="edit" spidmax="6145">
      <o:colormenu v:ext="edit" fillcolor="none" strokecolor="none"/>
    </o:shapedefaults>
  </w:hdrShapeDefaults>
  <w:footnotePr>
    <w:numFmt w:val="lowerRoman"/>
    <w:footnote w:id="-1"/>
    <w:footnote w:id="0"/>
  </w:footnotePr>
  <w:endnotePr>
    <w:endnote w:id="-1"/>
    <w:endnote w:id="0"/>
  </w:endnotePr>
  <w:compat/>
  <w:rsids>
    <w:rsidRoot w:val="00A91088"/>
    <w:rsid w:val="0000007B"/>
    <w:rsid w:val="000004B4"/>
    <w:rsid w:val="00000F50"/>
    <w:rsid w:val="000013FC"/>
    <w:rsid w:val="000019A8"/>
    <w:rsid w:val="00001E9C"/>
    <w:rsid w:val="00002DAA"/>
    <w:rsid w:val="00002ED1"/>
    <w:rsid w:val="0000444D"/>
    <w:rsid w:val="00004810"/>
    <w:rsid w:val="000048A2"/>
    <w:rsid w:val="00005130"/>
    <w:rsid w:val="000067AC"/>
    <w:rsid w:val="000068E9"/>
    <w:rsid w:val="00006CE7"/>
    <w:rsid w:val="0000769A"/>
    <w:rsid w:val="0001033A"/>
    <w:rsid w:val="000105DD"/>
    <w:rsid w:val="000106B4"/>
    <w:rsid w:val="000131E0"/>
    <w:rsid w:val="000151F8"/>
    <w:rsid w:val="000156FE"/>
    <w:rsid w:val="00015CFC"/>
    <w:rsid w:val="000211B5"/>
    <w:rsid w:val="000218C5"/>
    <w:rsid w:val="00023BC5"/>
    <w:rsid w:val="0002428F"/>
    <w:rsid w:val="00024E30"/>
    <w:rsid w:val="00025763"/>
    <w:rsid w:val="00025C3E"/>
    <w:rsid w:val="00026C5E"/>
    <w:rsid w:val="000275CD"/>
    <w:rsid w:val="0003029E"/>
    <w:rsid w:val="00031770"/>
    <w:rsid w:val="000335F0"/>
    <w:rsid w:val="00033C1D"/>
    <w:rsid w:val="00033FB8"/>
    <w:rsid w:val="0003453F"/>
    <w:rsid w:val="0003480E"/>
    <w:rsid w:val="0003490D"/>
    <w:rsid w:val="00035991"/>
    <w:rsid w:val="0003726D"/>
    <w:rsid w:val="00037809"/>
    <w:rsid w:val="0004045E"/>
    <w:rsid w:val="0004114B"/>
    <w:rsid w:val="0004171A"/>
    <w:rsid w:val="0004173E"/>
    <w:rsid w:val="00041F1D"/>
    <w:rsid w:val="00042188"/>
    <w:rsid w:val="000423BD"/>
    <w:rsid w:val="00042930"/>
    <w:rsid w:val="000454B4"/>
    <w:rsid w:val="000469FA"/>
    <w:rsid w:val="00046EB5"/>
    <w:rsid w:val="00047328"/>
    <w:rsid w:val="00047A05"/>
    <w:rsid w:val="00047B1C"/>
    <w:rsid w:val="00047D85"/>
    <w:rsid w:val="00047FA5"/>
    <w:rsid w:val="00050644"/>
    <w:rsid w:val="0005102D"/>
    <w:rsid w:val="00051155"/>
    <w:rsid w:val="00051A49"/>
    <w:rsid w:val="00051D1C"/>
    <w:rsid w:val="00052B4E"/>
    <w:rsid w:val="00052D52"/>
    <w:rsid w:val="000539E1"/>
    <w:rsid w:val="00054732"/>
    <w:rsid w:val="00055E85"/>
    <w:rsid w:val="00055E88"/>
    <w:rsid w:val="00056B6E"/>
    <w:rsid w:val="0005773A"/>
    <w:rsid w:val="00057A60"/>
    <w:rsid w:val="00060D0D"/>
    <w:rsid w:val="00061148"/>
    <w:rsid w:val="00062B24"/>
    <w:rsid w:val="00062B80"/>
    <w:rsid w:val="00064658"/>
    <w:rsid w:val="000652C8"/>
    <w:rsid w:val="00065553"/>
    <w:rsid w:val="00065C4E"/>
    <w:rsid w:val="00066AA2"/>
    <w:rsid w:val="00066AD2"/>
    <w:rsid w:val="00066BD6"/>
    <w:rsid w:val="00070BFE"/>
    <w:rsid w:val="000714C1"/>
    <w:rsid w:val="000721AF"/>
    <w:rsid w:val="00072BB2"/>
    <w:rsid w:val="00073C8A"/>
    <w:rsid w:val="00073CCF"/>
    <w:rsid w:val="0007431E"/>
    <w:rsid w:val="0007671F"/>
    <w:rsid w:val="00076FB5"/>
    <w:rsid w:val="00077ED0"/>
    <w:rsid w:val="000802F5"/>
    <w:rsid w:val="000803BB"/>
    <w:rsid w:val="00082A27"/>
    <w:rsid w:val="00083DB2"/>
    <w:rsid w:val="00083E46"/>
    <w:rsid w:val="00084636"/>
    <w:rsid w:val="00084B95"/>
    <w:rsid w:val="00085678"/>
    <w:rsid w:val="00085823"/>
    <w:rsid w:val="0008785B"/>
    <w:rsid w:val="00087BF5"/>
    <w:rsid w:val="00090092"/>
    <w:rsid w:val="000901CC"/>
    <w:rsid w:val="00091378"/>
    <w:rsid w:val="00092154"/>
    <w:rsid w:val="0009249D"/>
    <w:rsid w:val="0009284A"/>
    <w:rsid w:val="00092FD7"/>
    <w:rsid w:val="0009344A"/>
    <w:rsid w:val="0009383E"/>
    <w:rsid w:val="00094546"/>
    <w:rsid w:val="00094A1E"/>
    <w:rsid w:val="0009526C"/>
    <w:rsid w:val="000959D6"/>
    <w:rsid w:val="00096A96"/>
    <w:rsid w:val="000A0111"/>
    <w:rsid w:val="000A35A8"/>
    <w:rsid w:val="000A3BC3"/>
    <w:rsid w:val="000A578E"/>
    <w:rsid w:val="000A5D0C"/>
    <w:rsid w:val="000A708A"/>
    <w:rsid w:val="000A7CB2"/>
    <w:rsid w:val="000B02DD"/>
    <w:rsid w:val="000B1517"/>
    <w:rsid w:val="000B1613"/>
    <w:rsid w:val="000B19FF"/>
    <w:rsid w:val="000B3AA0"/>
    <w:rsid w:val="000B46E1"/>
    <w:rsid w:val="000B514D"/>
    <w:rsid w:val="000B7BC8"/>
    <w:rsid w:val="000B7FBB"/>
    <w:rsid w:val="000C0620"/>
    <w:rsid w:val="000C20A3"/>
    <w:rsid w:val="000C229B"/>
    <w:rsid w:val="000C34F3"/>
    <w:rsid w:val="000C4CE8"/>
    <w:rsid w:val="000C59B5"/>
    <w:rsid w:val="000C6C85"/>
    <w:rsid w:val="000C73A6"/>
    <w:rsid w:val="000C73C6"/>
    <w:rsid w:val="000D00EC"/>
    <w:rsid w:val="000D065A"/>
    <w:rsid w:val="000D092D"/>
    <w:rsid w:val="000D0BA3"/>
    <w:rsid w:val="000D0F10"/>
    <w:rsid w:val="000D1B14"/>
    <w:rsid w:val="000D1E7E"/>
    <w:rsid w:val="000D26A5"/>
    <w:rsid w:val="000D2811"/>
    <w:rsid w:val="000D2C57"/>
    <w:rsid w:val="000D2F44"/>
    <w:rsid w:val="000D31DD"/>
    <w:rsid w:val="000D3867"/>
    <w:rsid w:val="000D5203"/>
    <w:rsid w:val="000D7404"/>
    <w:rsid w:val="000D7E92"/>
    <w:rsid w:val="000E034A"/>
    <w:rsid w:val="000E04DE"/>
    <w:rsid w:val="000E0530"/>
    <w:rsid w:val="000E09B4"/>
    <w:rsid w:val="000E1332"/>
    <w:rsid w:val="000E27A4"/>
    <w:rsid w:val="000E2D73"/>
    <w:rsid w:val="000E4013"/>
    <w:rsid w:val="000E48DA"/>
    <w:rsid w:val="000E51F1"/>
    <w:rsid w:val="000E67F8"/>
    <w:rsid w:val="000E7D44"/>
    <w:rsid w:val="000E7DFA"/>
    <w:rsid w:val="000F0AF7"/>
    <w:rsid w:val="000F1135"/>
    <w:rsid w:val="000F11D8"/>
    <w:rsid w:val="000F130E"/>
    <w:rsid w:val="000F1751"/>
    <w:rsid w:val="000F1F92"/>
    <w:rsid w:val="000F302A"/>
    <w:rsid w:val="000F3BBB"/>
    <w:rsid w:val="000F3D8B"/>
    <w:rsid w:val="000F3DAB"/>
    <w:rsid w:val="000F4171"/>
    <w:rsid w:val="000F41DC"/>
    <w:rsid w:val="000F6356"/>
    <w:rsid w:val="000F649A"/>
    <w:rsid w:val="000F6DE3"/>
    <w:rsid w:val="000F6EC1"/>
    <w:rsid w:val="000F7922"/>
    <w:rsid w:val="00100052"/>
    <w:rsid w:val="00101A65"/>
    <w:rsid w:val="00101C81"/>
    <w:rsid w:val="00101CED"/>
    <w:rsid w:val="00104E6D"/>
    <w:rsid w:val="00105F60"/>
    <w:rsid w:val="00106D0C"/>
    <w:rsid w:val="00106DB4"/>
    <w:rsid w:val="00107936"/>
    <w:rsid w:val="00111228"/>
    <w:rsid w:val="001116D9"/>
    <w:rsid w:val="00112D20"/>
    <w:rsid w:val="00113DDE"/>
    <w:rsid w:val="0011420F"/>
    <w:rsid w:val="001151FF"/>
    <w:rsid w:val="0011526C"/>
    <w:rsid w:val="00115E3E"/>
    <w:rsid w:val="0011740C"/>
    <w:rsid w:val="00117C27"/>
    <w:rsid w:val="0012010B"/>
    <w:rsid w:val="00120510"/>
    <w:rsid w:val="00121AC8"/>
    <w:rsid w:val="00121B4F"/>
    <w:rsid w:val="00122018"/>
    <w:rsid w:val="0012250B"/>
    <w:rsid w:val="00122D52"/>
    <w:rsid w:val="001233B4"/>
    <w:rsid w:val="001258B7"/>
    <w:rsid w:val="00126C69"/>
    <w:rsid w:val="00127F84"/>
    <w:rsid w:val="0013046F"/>
    <w:rsid w:val="00130711"/>
    <w:rsid w:val="0013121D"/>
    <w:rsid w:val="0013124D"/>
    <w:rsid w:val="00131400"/>
    <w:rsid w:val="00131527"/>
    <w:rsid w:val="00132ABE"/>
    <w:rsid w:val="00133AAD"/>
    <w:rsid w:val="00133B1F"/>
    <w:rsid w:val="00134640"/>
    <w:rsid w:val="001348AF"/>
    <w:rsid w:val="0013504D"/>
    <w:rsid w:val="00135ED4"/>
    <w:rsid w:val="0013646C"/>
    <w:rsid w:val="00137B5A"/>
    <w:rsid w:val="00137FCA"/>
    <w:rsid w:val="00140562"/>
    <w:rsid w:val="00140D31"/>
    <w:rsid w:val="00141503"/>
    <w:rsid w:val="001416A8"/>
    <w:rsid w:val="001421B0"/>
    <w:rsid w:val="0014321E"/>
    <w:rsid w:val="001435D8"/>
    <w:rsid w:val="00143DBC"/>
    <w:rsid w:val="00143FC1"/>
    <w:rsid w:val="001440A8"/>
    <w:rsid w:val="0014423B"/>
    <w:rsid w:val="00145905"/>
    <w:rsid w:val="001461BB"/>
    <w:rsid w:val="001471EF"/>
    <w:rsid w:val="00147C56"/>
    <w:rsid w:val="00147D93"/>
    <w:rsid w:val="00147F32"/>
    <w:rsid w:val="0015047C"/>
    <w:rsid w:val="0015082D"/>
    <w:rsid w:val="00150982"/>
    <w:rsid w:val="00150A37"/>
    <w:rsid w:val="001529FC"/>
    <w:rsid w:val="00153151"/>
    <w:rsid w:val="00153620"/>
    <w:rsid w:val="001542FB"/>
    <w:rsid w:val="00154F51"/>
    <w:rsid w:val="001553BA"/>
    <w:rsid w:val="00155CC6"/>
    <w:rsid w:val="001569AA"/>
    <w:rsid w:val="00157ACB"/>
    <w:rsid w:val="00160286"/>
    <w:rsid w:val="001606CD"/>
    <w:rsid w:val="00160FBF"/>
    <w:rsid w:val="001612A4"/>
    <w:rsid w:val="0016233A"/>
    <w:rsid w:val="00162970"/>
    <w:rsid w:val="0016302D"/>
    <w:rsid w:val="0016307A"/>
    <w:rsid w:val="0016353E"/>
    <w:rsid w:val="001644D6"/>
    <w:rsid w:val="0016559B"/>
    <w:rsid w:val="0016603A"/>
    <w:rsid w:val="00166AF1"/>
    <w:rsid w:val="00167315"/>
    <w:rsid w:val="00167EFC"/>
    <w:rsid w:val="001705A1"/>
    <w:rsid w:val="00170942"/>
    <w:rsid w:val="0017392C"/>
    <w:rsid w:val="001740C2"/>
    <w:rsid w:val="0017466A"/>
    <w:rsid w:val="00174D3A"/>
    <w:rsid w:val="0017564D"/>
    <w:rsid w:val="001800B5"/>
    <w:rsid w:val="00181696"/>
    <w:rsid w:val="00182B02"/>
    <w:rsid w:val="00182DAE"/>
    <w:rsid w:val="00183CA9"/>
    <w:rsid w:val="0018492A"/>
    <w:rsid w:val="00185083"/>
    <w:rsid w:val="001852FC"/>
    <w:rsid w:val="0018555E"/>
    <w:rsid w:val="00185767"/>
    <w:rsid w:val="00185D7E"/>
    <w:rsid w:val="001865B5"/>
    <w:rsid w:val="00187577"/>
    <w:rsid w:val="00187800"/>
    <w:rsid w:val="00187872"/>
    <w:rsid w:val="0019066B"/>
    <w:rsid w:val="0019098C"/>
    <w:rsid w:val="0019103A"/>
    <w:rsid w:val="00191897"/>
    <w:rsid w:val="0019210B"/>
    <w:rsid w:val="00192ADF"/>
    <w:rsid w:val="00193955"/>
    <w:rsid w:val="00194A68"/>
    <w:rsid w:val="00194C34"/>
    <w:rsid w:val="00195058"/>
    <w:rsid w:val="001953A6"/>
    <w:rsid w:val="001954D3"/>
    <w:rsid w:val="00196E27"/>
    <w:rsid w:val="001A100E"/>
    <w:rsid w:val="001A1E7A"/>
    <w:rsid w:val="001A2790"/>
    <w:rsid w:val="001A4242"/>
    <w:rsid w:val="001A466D"/>
    <w:rsid w:val="001A4C31"/>
    <w:rsid w:val="001A5209"/>
    <w:rsid w:val="001A5B81"/>
    <w:rsid w:val="001A6044"/>
    <w:rsid w:val="001A68CB"/>
    <w:rsid w:val="001A6D68"/>
    <w:rsid w:val="001A706E"/>
    <w:rsid w:val="001A7230"/>
    <w:rsid w:val="001A77F5"/>
    <w:rsid w:val="001A7A22"/>
    <w:rsid w:val="001A7E4D"/>
    <w:rsid w:val="001B00AB"/>
    <w:rsid w:val="001B0884"/>
    <w:rsid w:val="001B3E6F"/>
    <w:rsid w:val="001B5214"/>
    <w:rsid w:val="001B535F"/>
    <w:rsid w:val="001B59FD"/>
    <w:rsid w:val="001B6473"/>
    <w:rsid w:val="001B7D3E"/>
    <w:rsid w:val="001C0535"/>
    <w:rsid w:val="001C06C0"/>
    <w:rsid w:val="001C0E48"/>
    <w:rsid w:val="001C11F3"/>
    <w:rsid w:val="001C20FA"/>
    <w:rsid w:val="001C246C"/>
    <w:rsid w:val="001C24C7"/>
    <w:rsid w:val="001C2676"/>
    <w:rsid w:val="001C377B"/>
    <w:rsid w:val="001C3BD2"/>
    <w:rsid w:val="001C4220"/>
    <w:rsid w:val="001C446A"/>
    <w:rsid w:val="001C6792"/>
    <w:rsid w:val="001C711C"/>
    <w:rsid w:val="001D0F52"/>
    <w:rsid w:val="001D226D"/>
    <w:rsid w:val="001D2574"/>
    <w:rsid w:val="001D2F9A"/>
    <w:rsid w:val="001D2FF2"/>
    <w:rsid w:val="001D3682"/>
    <w:rsid w:val="001D3999"/>
    <w:rsid w:val="001D5234"/>
    <w:rsid w:val="001D5AEC"/>
    <w:rsid w:val="001D5D05"/>
    <w:rsid w:val="001D5D18"/>
    <w:rsid w:val="001D6AB0"/>
    <w:rsid w:val="001E0867"/>
    <w:rsid w:val="001E250E"/>
    <w:rsid w:val="001E2FC8"/>
    <w:rsid w:val="001E3263"/>
    <w:rsid w:val="001E4CB4"/>
    <w:rsid w:val="001E4EEC"/>
    <w:rsid w:val="001E52BE"/>
    <w:rsid w:val="001E5570"/>
    <w:rsid w:val="001E5ADF"/>
    <w:rsid w:val="001E66AF"/>
    <w:rsid w:val="001E77A6"/>
    <w:rsid w:val="001F02D1"/>
    <w:rsid w:val="001F129E"/>
    <w:rsid w:val="001F2783"/>
    <w:rsid w:val="001F2F99"/>
    <w:rsid w:val="001F4667"/>
    <w:rsid w:val="001F550E"/>
    <w:rsid w:val="001F59CA"/>
    <w:rsid w:val="001F6816"/>
    <w:rsid w:val="001F6AD1"/>
    <w:rsid w:val="001F6D21"/>
    <w:rsid w:val="001F6E6C"/>
    <w:rsid w:val="00200411"/>
    <w:rsid w:val="00201A41"/>
    <w:rsid w:val="00201C24"/>
    <w:rsid w:val="00202908"/>
    <w:rsid w:val="00202F80"/>
    <w:rsid w:val="00203366"/>
    <w:rsid w:val="0020389F"/>
    <w:rsid w:val="00203AC4"/>
    <w:rsid w:val="00203BEA"/>
    <w:rsid w:val="002047CA"/>
    <w:rsid w:val="0020635E"/>
    <w:rsid w:val="00206D3E"/>
    <w:rsid w:val="002070F6"/>
    <w:rsid w:val="002076CA"/>
    <w:rsid w:val="00207AEB"/>
    <w:rsid w:val="002102F7"/>
    <w:rsid w:val="00210EB4"/>
    <w:rsid w:val="002113A0"/>
    <w:rsid w:val="00212903"/>
    <w:rsid w:val="00212A03"/>
    <w:rsid w:val="0021305C"/>
    <w:rsid w:val="00213439"/>
    <w:rsid w:val="002141C8"/>
    <w:rsid w:val="002158D2"/>
    <w:rsid w:val="002163F9"/>
    <w:rsid w:val="0021689C"/>
    <w:rsid w:val="00216D24"/>
    <w:rsid w:val="00217CE0"/>
    <w:rsid w:val="0022061D"/>
    <w:rsid w:val="00221070"/>
    <w:rsid w:val="00222AFD"/>
    <w:rsid w:val="00223E6D"/>
    <w:rsid w:val="00225247"/>
    <w:rsid w:val="00225F64"/>
    <w:rsid w:val="00226C4E"/>
    <w:rsid w:val="00226FFD"/>
    <w:rsid w:val="00227CFA"/>
    <w:rsid w:val="00231E17"/>
    <w:rsid w:val="00231E86"/>
    <w:rsid w:val="00231FF4"/>
    <w:rsid w:val="00232874"/>
    <w:rsid w:val="0023296B"/>
    <w:rsid w:val="00232FF3"/>
    <w:rsid w:val="002341B3"/>
    <w:rsid w:val="002344D2"/>
    <w:rsid w:val="00234817"/>
    <w:rsid w:val="00234A1E"/>
    <w:rsid w:val="00234BD7"/>
    <w:rsid w:val="0023534B"/>
    <w:rsid w:val="00237214"/>
    <w:rsid w:val="00237F39"/>
    <w:rsid w:val="00240445"/>
    <w:rsid w:val="002406C2"/>
    <w:rsid w:val="00241459"/>
    <w:rsid w:val="00241CB1"/>
    <w:rsid w:val="00241D52"/>
    <w:rsid w:val="00242449"/>
    <w:rsid w:val="0024308A"/>
    <w:rsid w:val="002435D2"/>
    <w:rsid w:val="00243BDC"/>
    <w:rsid w:val="00243CD5"/>
    <w:rsid w:val="00244197"/>
    <w:rsid w:val="0024511B"/>
    <w:rsid w:val="0024521E"/>
    <w:rsid w:val="0024648A"/>
    <w:rsid w:val="00246906"/>
    <w:rsid w:val="00246F82"/>
    <w:rsid w:val="0025008A"/>
    <w:rsid w:val="00252695"/>
    <w:rsid w:val="00252CB8"/>
    <w:rsid w:val="00253807"/>
    <w:rsid w:val="002539E9"/>
    <w:rsid w:val="002542BC"/>
    <w:rsid w:val="00254449"/>
    <w:rsid w:val="00254994"/>
    <w:rsid w:val="00254C77"/>
    <w:rsid w:val="00254ECD"/>
    <w:rsid w:val="00257BA4"/>
    <w:rsid w:val="002601B3"/>
    <w:rsid w:val="00260F31"/>
    <w:rsid w:val="0026141A"/>
    <w:rsid w:val="002614EC"/>
    <w:rsid w:val="002621E3"/>
    <w:rsid w:val="00262E6C"/>
    <w:rsid w:val="0026540D"/>
    <w:rsid w:val="00265944"/>
    <w:rsid w:val="00265EDE"/>
    <w:rsid w:val="00265F6F"/>
    <w:rsid w:val="0026613E"/>
    <w:rsid w:val="002663E6"/>
    <w:rsid w:val="00266846"/>
    <w:rsid w:val="002672A9"/>
    <w:rsid w:val="002673EB"/>
    <w:rsid w:val="00267477"/>
    <w:rsid w:val="00267617"/>
    <w:rsid w:val="002677FD"/>
    <w:rsid w:val="00270099"/>
    <w:rsid w:val="00270E27"/>
    <w:rsid w:val="002710B8"/>
    <w:rsid w:val="0027122C"/>
    <w:rsid w:val="002740F3"/>
    <w:rsid w:val="00275F41"/>
    <w:rsid w:val="00276227"/>
    <w:rsid w:val="00276278"/>
    <w:rsid w:val="00276FD2"/>
    <w:rsid w:val="00281363"/>
    <w:rsid w:val="00281DD4"/>
    <w:rsid w:val="00282082"/>
    <w:rsid w:val="002823BD"/>
    <w:rsid w:val="00282ACB"/>
    <w:rsid w:val="00284DFD"/>
    <w:rsid w:val="002859A0"/>
    <w:rsid w:val="00285B49"/>
    <w:rsid w:val="00286F24"/>
    <w:rsid w:val="00287290"/>
    <w:rsid w:val="00287800"/>
    <w:rsid w:val="00287CA1"/>
    <w:rsid w:val="002907CB"/>
    <w:rsid w:val="002914DF"/>
    <w:rsid w:val="00292B68"/>
    <w:rsid w:val="00292DA9"/>
    <w:rsid w:val="00293136"/>
    <w:rsid w:val="00293D65"/>
    <w:rsid w:val="00294CDE"/>
    <w:rsid w:val="002953A4"/>
    <w:rsid w:val="0029598E"/>
    <w:rsid w:val="002960F3"/>
    <w:rsid w:val="00297091"/>
    <w:rsid w:val="002A17A3"/>
    <w:rsid w:val="002A191B"/>
    <w:rsid w:val="002A22D5"/>
    <w:rsid w:val="002A23C8"/>
    <w:rsid w:val="002A3045"/>
    <w:rsid w:val="002A32F9"/>
    <w:rsid w:val="002A4263"/>
    <w:rsid w:val="002A489D"/>
    <w:rsid w:val="002A4F27"/>
    <w:rsid w:val="002A537B"/>
    <w:rsid w:val="002A5CE8"/>
    <w:rsid w:val="002A625D"/>
    <w:rsid w:val="002A702A"/>
    <w:rsid w:val="002B01FF"/>
    <w:rsid w:val="002B3894"/>
    <w:rsid w:val="002B398A"/>
    <w:rsid w:val="002B425D"/>
    <w:rsid w:val="002B4DF0"/>
    <w:rsid w:val="002B62AA"/>
    <w:rsid w:val="002B62CD"/>
    <w:rsid w:val="002B6756"/>
    <w:rsid w:val="002B701F"/>
    <w:rsid w:val="002B7344"/>
    <w:rsid w:val="002B7820"/>
    <w:rsid w:val="002C14EE"/>
    <w:rsid w:val="002C1A56"/>
    <w:rsid w:val="002C1FC6"/>
    <w:rsid w:val="002C3522"/>
    <w:rsid w:val="002C3BBC"/>
    <w:rsid w:val="002C49E5"/>
    <w:rsid w:val="002C59D3"/>
    <w:rsid w:val="002C5F48"/>
    <w:rsid w:val="002D069C"/>
    <w:rsid w:val="002D0896"/>
    <w:rsid w:val="002D0F2B"/>
    <w:rsid w:val="002D0F86"/>
    <w:rsid w:val="002D27F5"/>
    <w:rsid w:val="002D47E0"/>
    <w:rsid w:val="002D560C"/>
    <w:rsid w:val="002D5CBC"/>
    <w:rsid w:val="002D61C6"/>
    <w:rsid w:val="002D6928"/>
    <w:rsid w:val="002D6CC7"/>
    <w:rsid w:val="002D74AF"/>
    <w:rsid w:val="002E0A68"/>
    <w:rsid w:val="002E16F2"/>
    <w:rsid w:val="002E2082"/>
    <w:rsid w:val="002E2164"/>
    <w:rsid w:val="002E2562"/>
    <w:rsid w:val="002E42EC"/>
    <w:rsid w:val="002E7736"/>
    <w:rsid w:val="002F054D"/>
    <w:rsid w:val="002F25F9"/>
    <w:rsid w:val="002F3468"/>
    <w:rsid w:val="002F3EB4"/>
    <w:rsid w:val="002F4327"/>
    <w:rsid w:val="002F435C"/>
    <w:rsid w:val="002F4A71"/>
    <w:rsid w:val="002F5024"/>
    <w:rsid w:val="002F546D"/>
    <w:rsid w:val="002F5A90"/>
    <w:rsid w:val="002F73E6"/>
    <w:rsid w:val="002F7E7F"/>
    <w:rsid w:val="00300B2E"/>
    <w:rsid w:val="00302197"/>
    <w:rsid w:val="003022AD"/>
    <w:rsid w:val="00302549"/>
    <w:rsid w:val="00303D31"/>
    <w:rsid w:val="003041BB"/>
    <w:rsid w:val="003047C7"/>
    <w:rsid w:val="00304A6C"/>
    <w:rsid w:val="0030582D"/>
    <w:rsid w:val="00305D56"/>
    <w:rsid w:val="00305E2C"/>
    <w:rsid w:val="00311BFD"/>
    <w:rsid w:val="00312058"/>
    <w:rsid w:val="00312FB7"/>
    <w:rsid w:val="00313725"/>
    <w:rsid w:val="0031449D"/>
    <w:rsid w:val="00314C53"/>
    <w:rsid w:val="00314F08"/>
    <w:rsid w:val="00315635"/>
    <w:rsid w:val="00315667"/>
    <w:rsid w:val="003158A6"/>
    <w:rsid w:val="00316240"/>
    <w:rsid w:val="00316294"/>
    <w:rsid w:val="00316A38"/>
    <w:rsid w:val="00317031"/>
    <w:rsid w:val="00317537"/>
    <w:rsid w:val="0031755D"/>
    <w:rsid w:val="00317C7C"/>
    <w:rsid w:val="00317D14"/>
    <w:rsid w:val="00320AD8"/>
    <w:rsid w:val="0032111C"/>
    <w:rsid w:val="003213DE"/>
    <w:rsid w:val="00321813"/>
    <w:rsid w:val="003218A4"/>
    <w:rsid w:val="00322094"/>
    <w:rsid w:val="0032251B"/>
    <w:rsid w:val="0032402B"/>
    <w:rsid w:val="00324BF1"/>
    <w:rsid w:val="00326185"/>
    <w:rsid w:val="003267B2"/>
    <w:rsid w:val="00327171"/>
    <w:rsid w:val="0032750A"/>
    <w:rsid w:val="003307D6"/>
    <w:rsid w:val="00332106"/>
    <w:rsid w:val="003322F7"/>
    <w:rsid w:val="003340AF"/>
    <w:rsid w:val="00334640"/>
    <w:rsid w:val="0033588A"/>
    <w:rsid w:val="00336078"/>
    <w:rsid w:val="003376DF"/>
    <w:rsid w:val="003403C1"/>
    <w:rsid w:val="00340912"/>
    <w:rsid w:val="00340FA1"/>
    <w:rsid w:val="00341752"/>
    <w:rsid w:val="00341C0C"/>
    <w:rsid w:val="0034228D"/>
    <w:rsid w:val="00342A4D"/>
    <w:rsid w:val="00342D69"/>
    <w:rsid w:val="00343B8D"/>
    <w:rsid w:val="00344A45"/>
    <w:rsid w:val="003453B8"/>
    <w:rsid w:val="00346C8E"/>
    <w:rsid w:val="00346F30"/>
    <w:rsid w:val="00347459"/>
    <w:rsid w:val="00347627"/>
    <w:rsid w:val="00347943"/>
    <w:rsid w:val="0035236C"/>
    <w:rsid w:val="00352DA0"/>
    <w:rsid w:val="003533CB"/>
    <w:rsid w:val="00353E0A"/>
    <w:rsid w:val="0035549C"/>
    <w:rsid w:val="00355E77"/>
    <w:rsid w:val="00355E7B"/>
    <w:rsid w:val="003562F9"/>
    <w:rsid w:val="0035633C"/>
    <w:rsid w:val="00356C75"/>
    <w:rsid w:val="003578DF"/>
    <w:rsid w:val="00360B09"/>
    <w:rsid w:val="00360CA4"/>
    <w:rsid w:val="003617BD"/>
    <w:rsid w:val="00361F3F"/>
    <w:rsid w:val="0036311A"/>
    <w:rsid w:val="00363D19"/>
    <w:rsid w:val="003641DD"/>
    <w:rsid w:val="00365D89"/>
    <w:rsid w:val="00365D8C"/>
    <w:rsid w:val="00366CBD"/>
    <w:rsid w:val="0036722E"/>
    <w:rsid w:val="0036747A"/>
    <w:rsid w:val="00367D47"/>
    <w:rsid w:val="0037110C"/>
    <w:rsid w:val="0037168B"/>
    <w:rsid w:val="00371E4D"/>
    <w:rsid w:val="003721D6"/>
    <w:rsid w:val="0037225E"/>
    <w:rsid w:val="003736E3"/>
    <w:rsid w:val="00374DB2"/>
    <w:rsid w:val="00374F80"/>
    <w:rsid w:val="00376101"/>
    <w:rsid w:val="00377319"/>
    <w:rsid w:val="0037749D"/>
    <w:rsid w:val="0038071C"/>
    <w:rsid w:val="00380C8D"/>
    <w:rsid w:val="00380EC7"/>
    <w:rsid w:val="003813E9"/>
    <w:rsid w:val="00382234"/>
    <w:rsid w:val="0038240D"/>
    <w:rsid w:val="00382C8A"/>
    <w:rsid w:val="00384460"/>
    <w:rsid w:val="00384CC2"/>
    <w:rsid w:val="00384D67"/>
    <w:rsid w:val="00385F15"/>
    <w:rsid w:val="00386358"/>
    <w:rsid w:val="00386660"/>
    <w:rsid w:val="00386884"/>
    <w:rsid w:val="003873A0"/>
    <w:rsid w:val="00390D2D"/>
    <w:rsid w:val="003911A4"/>
    <w:rsid w:val="0039168D"/>
    <w:rsid w:val="00391719"/>
    <w:rsid w:val="0039199B"/>
    <w:rsid w:val="00393857"/>
    <w:rsid w:val="00394C52"/>
    <w:rsid w:val="00395C1E"/>
    <w:rsid w:val="00395F69"/>
    <w:rsid w:val="00396A19"/>
    <w:rsid w:val="003974E8"/>
    <w:rsid w:val="00397EB5"/>
    <w:rsid w:val="003A08B5"/>
    <w:rsid w:val="003A0B2B"/>
    <w:rsid w:val="003A0E8D"/>
    <w:rsid w:val="003A2170"/>
    <w:rsid w:val="003A283B"/>
    <w:rsid w:val="003A3996"/>
    <w:rsid w:val="003A432F"/>
    <w:rsid w:val="003A5560"/>
    <w:rsid w:val="003A5A8F"/>
    <w:rsid w:val="003A6E4D"/>
    <w:rsid w:val="003A7B40"/>
    <w:rsid w:val="003A7C4E"/>
    <w:rsid w:val="003B04C7"/>
    <w:rsid w:val="003B2A90"/>
    <w:rsid w:val="003B2EDA"/>
    <w:rsid w:val="003B3103"/>
    <w:rsid w:val="003B428F"/>
    <w:rsid w:val="003B4385"/>
    <w:rsid w:val="003B5731"/>
    <w:rsid w:val="003B575C"/>
    <w:rsid w:val="003B5CFC"/>
    <w:rsid w:val="003B621E"/>
    <w:rsid w:val="003B6355"/>
    <w:rsid w:val="003B6C57"/>
    <w:rsid w:val="003B7D7D"/>
    <w:rsid w:val="003C0D2C"/>
    <w:rsid w:val="003C10D8"/>
    <w:rsid w:val="003C3558"/>
    <w:rsid w:val="003C35C0"/>
    <w:rsid w:val="003C54ED"/>
    <w:rsid w:val="003C5E9F"/>
    <w:rsid w:val="003C5FD9"/>
    <w:rsid w:val="003C6437"/>
    <w:rsid w:val="003D019E"/>
    <w:rsid w:val="003D2497"/>
    <w:rsid w:val="003D3191"/>
    <w:rsid w:val="003D5B50"/>
    <w:rsid w:val="003D5FB8"/>
    <w:rsid w:val="003D698D"/>
    <w:rsid w:val="003D6CA1"/>
    <w:rsid w:val="003D6F9F"/>
    <w:rsid w:val="003D7089"/>
    <w:rsid w:val="003D75ED"/>
    <w:rsid w:val="003E0080"/>
    <w:rsid w:val="003E026E"/>
    <w:rsid w:val="003E088F"/>
    <w:rsid w:val="003E1331"/>
    <w:rsid w:val="003E2CFC"/>
    <w:rsid w:val="003E4B2B"/>
    <w:rsid w:val="003E58B5"/>
    <w:rsid w:val="003E6A32"/>
    <w:rsid w:val="003E7D24"/>
    <w:rsid w:val="003E7E00"/>
    <w:rsid w:val="003F0A84"/>
    <w:rsid w:val="003F0B68"/>
    <w:rsid w:val="003F2974"/>
    <w:rsid w:val="003F2A44"/>
    <w:rsid w:val="003F30D8"/>
    <w:rsid w:val="003F3443"/>
    <w:rsid w:val="003F361A"/>
    <w:rsid w:val="003F3D68"/>
    <w:rsid w:val="003F4521"/>
    <w:rsid w:val="003F4749"/>
    <w:rsid w:val="003F4A88"/>
    <w:rsid w:val="003F4D4F"/>
    <w:rsid w:val="003F59DF"/>
    <w:rsid w:val="003F6324"/>
    <w:rsid w:val="003F6B9E"/>
    <w:rsid w:val="003F6C4B"/>
    <w:rsid w:val="003F75C3"/>
    <w:rsid w:val="003F78C1"/>
    <w:rsid w:val="00400BCB"/>
    <w:rsid w:val="00401876"/>
    <w:rsid w:val="0040201F"/>
    <w:rsid w:val="00402435"/>
    <w:rsid w:val="00403BCF"/>
    <w:rsid w:val="004047F9"/>
    <w:rsid w:val="00404CAA"/>
    <w:rsid w:val="004052BF"/>
    <w:rsid w:val="00406148"/>
    <w:rsid w:val="00406EF5"/>
    <w:rsid w:val="004075A7"/>
    <w:rsid w:val="00410006"/>
    <w:rsid w:val="004103AA"/>
    <w:rsid w:val="0041121E"/>
    <w:rsid w:val="00411253"/>
    <w:rsid w:val="00411692"/>
    <w:rsid w:val="004127C3"/>
    <w:rsid w:val="004128F2"/>
    <w:rsid w:val="00412B30"/>
    <w:rsid w:val="00413059"/>
    <w:rsid w:val="00413E8A"/>
    <w:rsid w:val="00414280"/>
    <w:rsid w:val="00415B71"/>
    <w:rsid w:val="004168C7"/>
    <w:rsid w:val="00420A41"/>
    <w:rsid w:val="00420E7A"/>
    <w:rsid w:val="0042178E"/>
    <w:rsid w:val="004227E7"/>
    <w:rsid w:val="0042295C"/>
    <w:rsid w:val="00422F2D"/>
    <w:rsid w:val="00423417"/>
    <w:rsid w:val="004236E7"/>
    <w:rsid w:val="00424A2B"/>
    <w:rsid w:val="00424D61"/>
    <w:rsid w:val="00426418"/>
    <w:rsid w:val="00426B81"/>
    <w:rsid w:val="00427269"/>
    <w:rsid w:val="00427680"/>
    <w:rsid w:val="0042770D"/>
    <w:rsid w:val="00427E13"/>
    <w:rsid w:val="00431344"/>
    <w:rsid w:val="0043187C"/>
    <w:rsid w:val="00432437"/>
    <w:rsid w:val="0043330C"/>
    <w:rsid w:val="00433D39"/>
    <w:rsid w:val="00434507"/>
    <w:rsid w:val="00434B1E"/>
    <w:rsid w:val="00434BCB"/>
    <w:rsid w:val="004351DE"/>
    <w:rsid w:val="004359FC"/>
    <w:rsid w:val="00435EBB"/>
    <w:rsid w:val="00436109"/>
    <w:rsid w:val="0043645D"/>
    <w:rsid w:val="0043659E"/>
    <w:rsid w:val="004369F6"/>
    <w:rsid w:val="00437504"/>
    <w:rsid w:val="00440989"/>
    <w:rsid w:val="00440E01"/>
    <w:rsid w:val="00441105"/>
    <w:rsid w:val="00441BE8"/>
    <w:rsid w:val="004420AA"/>
    <w:rsid w:val="00442555"/>
    <w:rsid w:val="00443489"/>
    <w:rsid w:val="00443D2B"/>
    <w:rsid w:val="00443E51"/>
    <w:rsid w:val="004443C4"/>
    <w:rsid w:val="0044511A"/>
    <w:rsid w:val="004459BF"/>
    <w:rsid w:val="00446A13"/>
    <w:rsid w:val="00450778"/>
    <w:rsid w:val="00451531"/>
    <w:rsid w:val="00451699"/>
    <w:rsid w:val="00452A6A"/>
    <w:rsid w:val="00452D5E"/>
    <w:rsid w:val="004533D0"/>
    <w:rsid w:val="0045395C"/>
    <w:rsid w:val="00453A42"/>
    <w:rsid w:val="00456057"/>
    <w:rsid w:val="00456E54"/>
    <w:rsid w:val="00457199"/>
    <w:rsid w:val="00460C18"/>
    <w:rsid w:val="00461219"/>
    <w:rsid w:val="004613A6"/>
    <w:rsid w:val="004618DC"/>
    <w:rsid w:val="00461AF4"/>
    <w:rsid w:val="00461CBD"/>
    <w:rsid w:val="00462261"/>
    <w:rsid w:val="004627E2"/>
    <w:rsid w:val="00462BAC"/>
    <w:rsid w:val="00462F1D"/>
    <w:rsid w:val="004630B3"/>
    <w:rsid w:val="00463F4E"/>
    <w:rsid w:val="004643F5"/>
    <w:rsid w:val="004650D0"/>
    <w:rsid w:val="004655D2"/>
    <w:rsid w:val="004663DB"/>
    <w:rsid w:val="00467281"/>
    <w:rsid w:val="00467D03"/>
    <w:rsid w:val="00467DCF"/>
    <w:rsid w:val="00467E18"/>
    <w:rsid w:val="00470BB6"/>
    <w:rsid w:val="0047144E"/>
    <w:rsid w:val="0047221C"/>
    <w:rsid w:val="00472551"/>
    <w:rsid w:val="00472E2B"/>
    <w:rsid w:val="00472F5F"/>
    <w:rsid w:val="004731DA"/>
    <w:rsid w:val="004748D6"/>
    <w:rsid w:val="00476D58"/>
    <w:rsid w:val="00477171"/>
    <w:rsid w:val="0047752C"/>
    <w:rsid w:val="00477934"/>
    <w:rsid w:val="00477ADF"/>
    <w:rsid w:val="004801BD"/>
    <w:rsid w:val="00480595"/>
    <w:rsid w:val="00480DB0"/>
    <w:rsid w:val="00480E55"/>
    <w:rsid w:val="00483045"/>
    <w:rsid w:val="004830DB"/>
    <w:rsid w:val="00484508"/>
    <w:rsid w:val="0048660D"/>
    <w:rsid w:val="0048685D"/>
    <w:rsid w:val="004869F0"/>
    <w:rsid w:val="00487749"/>
    <w:rsid w:val="0049002D"/>
    <w:rsid w:val="0049184D"/>
    <w:rsid w:val="00491F41"/>
    <w:rsid w:val="0049456F"/>
    <w:rsid w:val="00494C91"/>
    <w:rsid w:val="00494FDD"/>
    <w:rsid w:val="00496FFC"/>
    <w:rsid w:val="00497060"/>
    <w:rsid w:val="004972CA"/>
    <w:rsid w:val="004972D4"/>
    <w:rsid w:val="004973B9"/>
    <w:rsid w:val="00497B2A"/>
    <w:rsid w:val="004A0136"/>
    <w:rsid w:val="004A0A4C"/>
    <w:rsid w:val="004A0B7A"/>
    <w:rsid w:val="004A0D4E"/>
    <w:rsid w:val="004A1D6F"/>
    <w:rsid w:val="004A1D8F"/>
    <w:rsid w:val="004A2057"/>
    <w:rsid w:val="004A2739"/>
    <w:rsid w:val="004A27F8"/>
    <w:rsid w:val="004A2DE4"/>
    <w:rsid w:val="004A4486"/>
    <w:rsid w:val="004A4889"/>
    <w:rsid w:val="004A52B7"/>
    <w:rsid w:val="004A52BD"/>
    <w:rsid w:val="004A56E8"/>
    <w:rsid w:val="004A5866"/>
    <w:rsid w:val="004A5F8A"/>
    <w:rsid w:val="004A6290"/>
    <w:rsid w:val="004A69A3"/>
    <w:rsid w:val="004A70B7"/>
    <w:rsid w:val="004A7CEA"/>
    <w:rsid w:val="004B0101"/>
    <w:rsid w:val="004B04D9"/>
    <w:rsid w:val="004B0EB0"/>
    <w:rsid w:val="004B0F5F"/>
    <w:rsid w:val="004B1F5F"/>
    <w:rsid w:val="004B4EF9"/>
    <w:rsid w:val="004B603A"/>
    <w:rsid w:val="004B63A5"/>
    <w:rsid w:val="004B63EC"/>
    <w:rsid w:val="004B6DA9"/>
    <w:rsid w:val="004B710B"/>
    <w:rsid w:val="004B74E4"/>
    <w:rsid w:val="004B77B8"/>
    <w:rsid w:val="004C027F"/>
    <w:rsid w:val="004C0DFC"/>
    <w:rsid w:val="004C0E2C"/>
    <w:rsid w:val="004C149E"/>
    <w:rsid w:val="004C1639"/>
    <w:rsid w:val="004C1CD7"/>
    <w:rsid w:val="004C2055"/>
    <w:rsid w:val="004C27EF"/>
    <w:rsid w:val="004C3167"/>
    <w:rsid w:val="004C3808"/>
    <w:rsid w:val="004C385C"/>
    <w:rsid w:val="004C51A9"/>
    <w:rsid w:val="004C57D4"/>
    <w:rsid w:val="004C5B20"/>
    <w:rsid w:val="004C5B6C"/>
    <w:rsid w:val="004C5F15"/>
    <w:rsid w:val="004C7A3D"/>
    <w:rsid w:val="004C7E5A"/>
    <w:rsid w:val="004D084C"/>
    <w:rsid w:val="004D0B63"/>
    <w:rsid w:val="004D2175"/>
    <w:rsid w:val="004D2915"/>
    <w:rsid w:val="004D31F1"/>
    <w:rsid w:val="004D42A4"/>
    <w:rsid w:val="004D4417"/>
    <w:rsid w:val="004D4F4E"/>
    <w:rsid w:val="004D51C2"/>
    <w:rsid w:val="004D606E"/>
    <w:rsid w:val="004D617F"/>
    <w:rsid w:val="004D6CA6"/>
    <w:rsid w:val="004E0093"/>
    <w:rsid w:val="004E019E"/>
    <w:rsid w:val="004E1183"/>
    <w:rsid w:val="004E155A"/>
    <w:rsid w:val="004E18C9"/>
    <w:rsid w:val="004E19F7"/>
    <w:rsid w:val="004E23D1"/>
    <w:rsid w:val="004E3837"/>
    <w:rsid w:val="004E3E1D"/>
    <w:rsid w:val="004E4331"/>
    <w:rsid w:val="004E4A12"/>
    <w:rsid w:val="004E5FC7"/>
    <w:rsid w:val="004E6651"/>
    <w:rsid w:val="004F1D04"/>
    <w:rsid w:val="004F23E6"/>
    <w:rsid w:val="004F301E"/>
    <w:rsid w:val="004F3413"/>
    <w:rsid w:val="004F37EC"/>
    <w:rsid w:val="004F3D47"/>
    <w:rsid w:val="004F5F98"/>
    <w:rsid w:val="004F61F7"/>
    <w:rsid w:val="004F628E"/>
    <w:rsid w:val="004F6EEF"/>
    <w:rsid w:val="004F7A88"/>
    <w:rsid w:val="004F7C74"/>
    <w:rsid w:val="00500606"/>
    <w:rsid w:val="00500607"/>
    <w:rsid w:val="00501BB1"/>
    <w:rsid w:val="0050210A"/>
    <w:rsid w:val="00502A7A"/>
    <w:rsid w:val="00502D15"/>
    <w:rsid w:val="00502F69"/>
    <w:rsid w:val="00506E72"/>
    <w:rsid w:val="005071A4"/>
    <w:rsid w:val="00507317"/>
    <w:rsid w:val="00510086"/>
    <w:rsid w:val="00510089"/>
    <w:rsid w:val="005105D6"/>
    <w:rsid w:val="00511541"/>
    <w:rsid w:val="005125B8"/>
    <w:rsid w:val="005125E7"/>
    <w:rsid w:val="00512A58"/>
    <w:rsid w:val="00513297"/>
    <w:rsid w:val="00513BD8"/>
    <w:rsid w:val="005155D4"/>
    <w:rsid w:val="00515888"/>
    <w:rsid w:val="00516C64"/>
    <w:rsid w:val="00516CFB"/>
    <w:rsid w:val="00521163"/>
    <w:rsid w:val="0052213E"/>
    <w:rsid w:val="005228DD"/>
    <w:rsid w:val="00522A25"/>
    <w:rsid w:val="00523828"/>
    <w:rsid w:val="00523F19"/>
    <w:rsid w:val="00525029"/>
    <w:rsid w:val="00526877"/>
    <w:rsid w:val="00526E95"/>
    <w:rsid w:val="00526F4D"/>
    <w:rsid w:val="00526FC9"/>
    <w:rsid w:val="005307E8"/>
    <w:rsid w:val="00530C45"/>
    <w:rsid w:val="00530E20"/>
    <w:rsid w:val="00531029"/>
    <w:rsid w:val="00531B59"/>
    <w:rsid w:val="00531F8C"/>
    <w:rsid w:val="0053207A"/>
    <w:rsid w:val="0053218B"/>
    <w:rsid w:val="005343D5"/>
    <w:rsid w:val="00534CC6"/>
    <w:rsid w:val="005351C4"/>
    <w:rsid w:val="00535851"/>
    <w:rsid w:val="00535860"/>
    <w:rsid w:val="00536B3A"/>
    <w:rsid w:val="005371A1"/>
    <w:rsid w:val="00540570"/>
    <w:rsid w:val="00540683"/>
    <w:rsid w:val="00540C55"/>
    <w:rsid w:val="00541EC2"/>
    <w:rsid w:val="0054322C"/>
    <w:rsid w:val="005442E0"/>
    <w:rsid w:val="00544446"/>
    <w:rsid w:val="0054489B"/>
    <w:rsid w:val="005450A0"/>
    <w:rsid w:val="00545129"/>
    <w:rsid w:val="00545291"/>
    <w:rsid w:val="0054534B"/>
    <w:rsid w:val="00546422"/>
    <w:rsid w:val="00546DD1"/>
    <w:rsid w:val="0055080C"/>
    <w:rsid w:val="00550CBF"/>
    <w:rsid w:val="00550D82"/>
    <w:rsid w:val="00551649"/>
    <w:rsid w:val="00552D87"/>
    <w:rsid w:val="00552F7F"/>
    <w:rsid w:val="00553EC4"/>
    <w:rsid w:val="00554280"/>
    <w:rsid w:val="00554568"/>
    <w:rsid w:val="005545D1"/>
    <w:rsid w:val="00554777"/>
    <w:rsid w:val="00555239"/>
    <w:rsid w:val="0055696E"/>
    <w:rsid w:val="00556FE2"/>
    <w:rsid w:val="005574FD"/>
    <w:rsid w:val="00560701"/>
    <w:rsid w:val="00561BE5"/>
    <w:rsid w:val="00562197"/>
    <w:rsid w:val="005627A6"/>
    <w:rsid w:val="00562CFC"/>
    <w:rsid w:val="005636D4"/>
    <w:rsid w:val="005637A1"/>
    <w:rsid w:val="005650D9"/>
    <w:rsid w:val="00565594"/>
    <w:rsid w:val="0056591A"/>
    <w:rsid w:val="00565D5D"/>
    <w:rsid w:val="00566DB5"/>
    <w:rsid w:val="0056789B"/>
    <w:rsid w:val="00570E36"/>
    <w:rsid w:val="00571257"/>
    <w:rsid w:val="00571D53"/>
    <w:rsid w:val="00572065"/>
    <w:rsid w:val="005727B8"/>
    <w:rsid w:val="005732CF"/>
    <w:rsid w:val="0057332A"/>
    <w:rsid w:val="00573786"/>
    <w:rsid w:val="0057389E"/>
    <w:rsid w:val="005742DA"/>
    <w:rsid w:val="005762DC"/>
    <w:rsid w:val="005764F1"/>
    <w:rsid w:val="005768B6"/>
    <w:rsid w:val="00576E74"/>
    <w:rsid w:val="00577D0E"/>
    <w:rsid w:val="005800DA"/>
    <w:rsid w:val="0058014B"/>
    <w:rsid w:val="005808F5"/>
    <w:rsid w:val="005823E7"/>
    <w:rsid w:val="00582A62"/>
    <w:rsid w:val="00582C05"/>
    <w:rsid w:val="00583956"/>
    <w:rsid w:val="00584181"/>
    <w:rsid w:val="00585A4D"/>
    <w:rsid w:val="00586BD5"/>
    <w:rsid w:val="00587396"/>
    <w:rsid w:val="00587451"/>
    <w:rsid w:val="0058762E"/>
    <w:rsid w:val="00590813"/>
    <w:rsid w:val="00591CA2"/>
    <w:rsid w:val="00593266"/>
    <w:rsid w:val="00594655"/>
    <w:rsid w:val="005949BE"/>
    <w:rsid w:val="005963B9"/>
    <w:rsid w:val="005974ED"/>
    <w:rsid w:val="0059780E"/>
    <w:rsid w:val="005A000B"/>
    <w:rsid w:val="005A00D1"/>
    <w:rsid w:val="005A05EF"/>
    <w:rsid w:val="005A179F"/>
    <w:rsid w:val="005A23F9"/>
    <w:rsid w:val="005A25E5"/>
    <w:rsid w:val="005A279E"/>
    <w:rsid w:val="005A33B9"/>
    <w:rsid w:val="005A3502"/>
    <w:rsid w:val="005A3D4A"/>
    <w:rsid w:val="005A4077"/>
    <w:rsid w:val="005A43A4"/>
    <w:rsid w:val="005A43FB"/>
    <w:rsid w:val="005A601E"/>
    <w:rsid w:val="005A613A"/>
    <w:rsid w:val="005A7211"/>
    <w:rsid w:val="005B05A9"/>
    <w:rsid w:val="005B06C8"/>
    <w:rsid w:val="005B1115"/>
    <w:rsid w:val="005B171F"/>
    <w:rsid w:val="005B1E36"/>
    <w:rsid w:val="005B2537"/>
    <w:rsid w:val="005B2F0D"/>
    <w:rsid w:val="005B34AD"/>
    <w:rsid w:val="005B3F52"/>
    <w:rsid w:val="005B534E"/>
    <w:rsid w:val="005B5911"/>
    <w:rsid w:val="005B5C63"/>
    <w:rsid w:val="005B679E"/>
    <w:rsid w:val="005B68FB"/>
    <w:rsid w:val="005C050F"/>
    <w:rsid w:val="005C0779"/>
    <w:rsid w:val="005C0B92"/>
    <w:rsid w:val="005C1144"/>
    <w:rsid w:val="005C1C70"/>
    <w:rsid w:val="005C27E4"/>
    <w:rsid w:val="005C3DFA"/>
    <w:rsid w:val="005C4218"/>
    <w:rsid w:val="005C56B8"/>
    <w:rsid w:val="005C5B3D"/>
    <w:rsid w:val="005C61F6"/>
    <w:rsid w:val="005C76D4"/>
    <w:rsid w:val="005D005B"/>
    <w:rsid w:val="005D186F"/>
    <w:rsid w:val="005D1D4D"/>
    <w:rsid w:val="005D24B4"/>
    <w:rsid w:val="005D24CE"/>
    <w:rsid w:val="005D388B"/>
    <w:rsid w:val="005D42AA"/>
    <w:rsid w:val="005D4B7B"/>
    <w:rsid w:val="005D56D0"/>
    <w:rsid w:val="005D6825"/>
    <w:rsid w:val="005D682A"/>
    <w:rsid w:val="005D683B"/>
    <w:rsid w:val="005D6CA2"/>
    <w:rsid w:val="005D7016"/>
    <w:rsid w:val="005E00CD"/>
    <w:rsid w:val="005E1363"/>
    <w:rsid w:val="005E2B87"/>
    <w:rsid w:val="005E3E40"/>
    <w:rsid w:val="005E518E"/>
    <w:rsid w:val="005E5777"/>
    <w:rsid w:val="005F0663"/>
    <w:rsid w:val="005F0CE2"/>
    <w:rsid w:val="005F0D51"/>
    <w:rsid w:val="005F129E"/>
    <w:rsid w:val="005F17A8"/>
    <w:rsid w:val="005F2792"/>
    <w:rsid w:val="005F2D38"/>
    <w:rsid w:val="005F3965"/>
    <w:rsid w:val="005F3A68"/>
    <w:rsid w:val="005F4326"/>
    <w:rsid w:val="005F7025"/>
    <w:rsid w:val="005F72E1"/>
    <w:rsid w:val="006025D8"/>
    <w:rsid w:val="0060479B"/>
    <w:rsid w:val="0060509E"/>
    <w:rsid w:val="00605313"/>
    <w:rsid w:val="006061CE"/>
    <w:rsid w:val="00607395"/>
    <w:rsid w:val="00610B8A"/>
    <w:rsid w:val="0061262C"/>
    <w:rsid w:val="00612DC1"/>
    <w:rsid w:val="00613F28"/>
    <w:rsid w:val="0061440C"/>
    <w:rsid w:val="006148A3"/>
    <w:rsid w:val="00614B97"/>
    <w:rsid w:val="0061587A"/>
    <w:rsid w:val="00615E5A"/>
    <w:rsid w:val="00617275"/>
    <w:rsid w:val="00617EE5"/>
    <w:rsid w:val="00620501"/>
    <w:rsid w:val="006209D4"/>
    <w:rsid w:val="006216BF"/>
    <w:rsid w:val="00624686"/>
    <w:rsid w:val="00624799"/>
    <w:rsid w:val="00624879"/>
    <w:rsid w:val="00624ED5"/>
    <w:rsid w:val="006255BC"/>
    <w:rsid w:val="006275FC"/>
    <w:rsid w:val="00627CB7"/>
    <w:rsid w:val="00627F3C"/>
    <w:rsid w:val="006301B7"/>
    <w:rsid w:val="006305AB"/>
    <w:rsid w:val="00630D25"/>
    <w:rsid w:val="00631097"/>
    <w:rsid w:val="00631AA3"/>
    <w:rsid w:val="0063206F"/>
    <w:rsid w:val="00632983"/>
    <w:rsid w:val="00632C17"/>
    <w:rsid w:val="006333E4"/>
    <w:rsid w:val="00633964"/>
    <w:rsid w:val="006339DF"/>
    <w:rsid w:val="00633DE0"/>
    <w:rsid w:val="00633DF7"/>
    <w:rsid w:val="00634267"/>
    <w:rsid w:val="006344CF"/>
    <w:rsid w:val="0063454A"/>
    <w:rsid w:val="00634D8D"/>
    <w:rsid w:val="00634DA9"/>
    <w:rsid w:val="00635143"/>
    <w:rsid w:val="006353FD"/>
    <w:rsid w:val="00635AC0"/>
    <w:rsid w:val="00635D62"/>
    <w:rsid w:val="006362E0"/>
    <w:rsid w:val="00636954"/>
    <w:rsid w:val="00640874"/>
    <w:rsid w:val="00640DE7"/>
    <w:rsid w:val="006410DA"/>
    <w:rsid w:val="00641A0E"/>
    <w:rsid w:val="00641DC8"/>
    <w:rsid w:val="0064299C"/>
    <w:rsid w:val="00642D6B"/>
    <w:rsid w:val="006443C6"/>
    <w:rsid w:val="006456FA"/>
    <w:rsid w:val="00645B06"/>
    <w:rsid w:val="00645D2E"/>
    <w:rsid w:val="006473B8"/>
    <w:rsid w:val="00647772"/>
    <w:rsid w:val="006479BB"/>
    <w:rsid w:val="006511F4"/>
    <w:rsid w:val="00651B92"/>
    <w:rsid w:val="00651E3C"/>
    <w:rsid w:val="00652214"/>
    <w:rsid w:val="00652227"/>
    <w:rsid w:val="00653A1B"/>
    <w:rsid w:val="00653D1A"/>
    <w:rsid w:val="00653F90"/>
    <w:rsid w:val="00654F6D"/>
    <w:rsid w:val="00655CF7"/>
    <w:rsid w:val="0065627A"/>
    <w:rsid w:val="00657E3F"/>
    <w:rsid w:val="006600ED"/>
    <w:rsid w:val="00660907"/>
    <w:rsid w:val="00661C8C"/>
    <w:rsid w:val="0066236D"/>
    <w:rsid w:val="006633F3"/>
    <w:rsid w:val="00663593"/>
    <w:rsid w:val="006637AF"/>
    <w:rsid w:val="006651D2"/>
    <w:rsid w:val="00665468"/>
    <w:rsid w:val="00665DD8"/>
    <w:rsid w:val="00665FB6"/>
    <w:rsid w:val="00666788"/>
    <w:rsid w:val="006679D2"/>
    <w:rsid w:val="00670128"/>
    <w:rsid w:val="0067034E"/>
    <w:rsid w:val="00670877"/>
    <w:rsid w:val="00670A86"/>
    <w:rsid w:val="0067185C"/>
    <w:rsid w:val="00671B5D"/>
    <w:rsid w:val="0067213D"/>
    <w:rsid w:val="006721C7"/>
    <w:rsid w:val="00674969"/>
    <w:rsid w:val="006751C3"/>
    <w:rsid w:val="00675385"/>
    <w:rsid w:val="006769E2"/>
    <w:rsid w:val="00677442"/>
    <w:rsid w:val="00677F77"/>
    <w:rsid w:val="006802D8"/>
    <w:rsid w:val="00680621"/>
    <w:rsid w:val="0068088C"/>
    <w:rsid w:val="0068122F"/>
    <w:rsid w:val="006825B1"/>
    <w:rsid w:val="00682ECB"/>
    <w:rsid w:val="00683C84"/>
    <w:rsid w:val="00684031"/>
    <w:rsid w:val="0068519C"/>
    <w:rsid w:val="0068595C"/>
    <w:rsid w:val="00686CDE"/>
    <w:rsid w:val="00687491"/>
    <w:rsid w:val="0068770F"/>
    <w:rsid w:val="00690530"/>
    <w:rsid w:val="006922A4"/>
    <w:rsid w:val="00692495"/>
    <w:rsid w:val="00692701"/>
    <w:rsid w:val="00693436"/>
    <w:rsid w:val="0069364D"/>
    <w:rsid w:val="006946F5"/>
    <w:rsid w:val="00695D95"/>
    <w:rsid w:val="00695E43"/>
    <w:rsid w:val="00695FCA"/>
    <w:rsid w:val="00696026"/>
    <w:rsid w:val="00696791"/>
    <w:rsid w:val="00696D82"/>
    <w:rsid w:val="00697082"/>
    <w:rsid w:val="00697B00"/>
    <w:rsid w:val="00697F18"/>
    <w:rsid w:val="006A0075"/>
    <w:rsid w:val="006A01DD"/>
    <w:rsid w:val="006A0997"/>
    <w:rsid w:val="006A09C5"/>
    <w:rsid w:val="006A0A7E"/>
    <w:rsid w:val="006A0E08"/>
    <w:rsid w:val="006A1184"/>
    <w:rsid w:val="006A164D"/>
    <w:rsid w:val="006A165D"/>
    <w:rsid w:val="006A1BDB"/>
    <w:rsid w:val="006A1EE4"/>
    <w:rsid w:val="006A3A06"/>
    <w:rsid w:val="006A3AE3"/>
    <w:rsid w:val="006A3FEE"/>
    <w:rsid w:val="006A468A"/>
    <w:rsid w:val="006A4C78"/>
    <w:rsid w:val="006A57B1"/>
    <w:rsid w:val="006A5A44"/>
    <w:rsid w:val="006A6319"/>
    <w:rsid w:val="006A7077"/>
    <w:rsid w:val="006A772F"/>
    <w:rsid w:val="006B087D"/>
    <w:rsid w:val="006B139A"/>
    <w:rsid w:val="006B15B5"/>
    <w:rsid w:val="006B22DB"/>
    <w:rsid w:val="006B23F8"/>
    <w:rsid w:val="006B3BAE"/>
    <w:rsid w:val="006B469B"/>
    <w:rsid w:val="006B50C7"/>
    <w:rsid w:val="006B50F5"/>
    <w:rsid w:val="006B51F3"/>
    <w:rsid w:val="006B5D89"/>
    <w:rsid w:val="006B7289"/>
    <w:rsid w:val="006C0397"/>
    <w:rsid w:val="006C04CC"/>
    <w:rsid w:val="006C08BC"/>
    <w:rsid w:val="006C099D"/>
    <w:rsid w:val="006C155B"/>
    <w:rsid w:val="006C1823"/>
    <w:rsid w:val="006C1BF5"/>
    <w:rsid w:val="006C35EF"/>
    <w:rsid w:val="006C403A"/>
    <w:rsid w:val="006C411E"/>
    <w:rsid w:val="006C5BE0"/>
    <w:rsid w:val="006C6775"/>
    <w:rsid w:val="006D1198"/>
    <w:rsid w:val="006D14A0"/>
    <w:rsid w:val="006D1C88"/>
    <w:rsid w:val="006D2C7C"/>
    <w:rsid w:val="006D3282"/>
    <w:rsid w:val="006D3514"/>
    <w:rsid w:val="006D3A85"/>
    <w:rsid w:val="006D4722"/>
    <w:rsid w:val="006D5147"/>
    <w:rsid w:val="006D5D4F"/>
    <w:rsid w:val="006D6104"/>
    <w:rsid w:val="006D6347"/>
    <w:rsid w:val="006D6874"/>
    <w:rsid w:val="006D7665"/>
    <w:rsid w:val="006D7AB7"/>
    <w:rsid w:val="006E02F4"/>
    <w:rsid w:val="006E0D27"/>
    <w:rsid w:val="006E1753"/>
    <w:rsid w:val="006E19D9"/>
    <w:rsid w:val="006E1E06"/>
    <w:rsid w:val="006E2AF6"/>
    <w:rsid w:val="006E3915"/>
    <w:rsid w:val="006E3A8B"/>
    <w:rsid w:val="006E50E4"/>
    <w:rsid w:val="006E5506"/>
    <w:rsid w:val="006E5E1F"/>
    <w:rsid w:val="006E6792"/>
    <w:rsid w:val="006E67FA"/>
    <w:rsid w:val="006E7EEF"/>
    <w:rsid w:val="006E7EF0"/>
    <w:rsid w:val="006F019B"/>
    <w:rsid w:val="006F0B39"/>
    <w:rsid w:val="006F115A"/>
    <w:rsid w:val="006F1176"/>
    <w:rsid w:val="006F1B28"/>
    <w:rsid w:val="006F2449"/>
    <w:rsid w:val="006F2C91"/>
    <w:rsid w:val="006F3998"/>
    <w:rsid w:val="006F3BBD"/>
    <w:rsid w:val="006F3D0C"/>
    <w:rsid w:val="006F5BF3"/>
    <w:rsid w:val="006F6299"/>
    <w:rsid w:val="006F63D4"/>
    <w:rsid w:val="006F6482"/>
    <w:rsid w:val="006F67A4"/>
    <w:rsid w:val="006F73DB"/>
    <w:rsid w:val="006F76D5"/>
    <w:rsid w:val="006F7FDB"/>
    <w:rsid w:val="00700570"/>
    <w:rsid w:val="00701DDF"/>
    <w:rsid w:val="007027FB"/>
    <w:rsid w:val="00702891"/>
    <w:rsid w:val="00703045"/>
    <w:rsid w:val="007040BB"/>
    <w:rsid w:val="007048A0"/>
    <w:rsid w:val="00704DD6"/>
    <w:rsid w:val="007055E9"/>
    <w:rsid w:val="007056CB"/>
    <w:rsid w:val="00705DB9"/>
    <w:rsid w:val="00705FED"/>
    <w:rsid w:val="00706875"/>
    <w:rsid w:val="00706F4B"/>
    <w:rsid w:val="00707108"/>
    <w:rsid w:val="007078BC"/>
    <w:rsid w:val="007078DE"/>
    <w:rsid w:val="00710163"/>
    <w:rsid w:val="00710D6D"/>
    <w:rsid w:val="00710E82"/>
    <w:rsid w:val="00710F1F"/>
    <w:rsid w:val="00711416"/>
    <w:rsid w:val="00711519"/>
    <w:rsid w:val="00712488"/>
    <w:rsid w:val="00712ED1"/>
    <w:rsid w:val="00713DC9"/>
    <w:rsid w:val="007145DD"/>
    <w:rsid w:val="00715408"/>
    <w:rsid w:val="00715665"/>
    <w:rsid w:val="00715818"/>
    <w:rsid w:val="007162B7"/>
    <w:rsid w:val="00716375"/>
    <w:rsid w:val="007168BF"/>
    <w:rsid w:val="00716E4F"/>
    <w:rsid w:val="007171D2"/>
    <w:rsid w:val="00717223"/>
    <w:rsid w:val="00720DF7"/>
    <w:rsid w:val="007217E9"/>
    <w:rsid w:val="00721FB2"/>
    <w:rsid w:val="00723575"/>
    <w:rsid w:val="007242B1"/>
    <w:rsid w:val="007251FE"/>
    <w:rsid w:val="00725E1F"/>
    <w:rsid w:val="00726116"/>
    <w:rsid w:val="007270CD"/>
    <w:rsid w:val="007278BC"/>
    <w:rsid w:val="00730307"/>
    <w:rsid w:val="00730929"/>
    <w:rsid w:val="00730F85"/>
    <w:rsid w:val="00731719"/>
    <w:rsid w:val="00731C9E"/>
    <w:rsid w:val="007322AF"/>
    <w:rsid w:val="00733837"/>
    <w:rsid w:val="007344BD"/>
    <w:rsid w:val="00735531"/>
    <w:rsid w:val="00736010"/>
    <w:rsid w:val="007373E2"/>
    <w:rsid w:val="00737DF0"/>
    <w:rsid w:val="00740209"/>
    <w:rsid w:val="00740C0B"/>
    <w:rsid w:val="00740D6E"/>
    <w:rsid w:val="00741810"/>
    <w:rsid w:val="007428F5"/>
    <w:rsid w:val="0074291F"/>
    <w:rsid w:val="00742AE8"/>
    <w:rsid w:val="0074647B"/>
    <w:rsid w:val="00746B34"/>
    <w:rsid w:val="00747362"/>
    <w:rsid w:val="007473CB"/>
    <w:rsid w:val="00747AF5"/>
    <w:rsid w:val="00747D80"/>
    <w:rsid w:val="0075005B"/>
    <w:rsid w:val="00751329"/>
    <w:rsid w:val="00751E97"/>
    <w:rsid w:val="007523EA"/>
    <w:rsid w:val="0075452B"/>
    <w:rsid w:val="00754667"/>
    <w:rsid w:val="00754BD8"/>
    <w:rsid w:val="0075550C"/>
    <w:rsid w:val="00755627"/>
    <w:rsid w:val="00755F88"/>
    <w:rsid w:val="007578F8"/>
    <w:rsid w:val="0076022E"/>
    <w:rsid w:val="00760571"/>
    <w:rsid w:val="0076071F"/>
    <w:rsid w:val="00761482"/>
    <w:rsid w:val="0076234C"/>
    <w:rsid w:val="00762691"/>
    <w:rsid w:val="007635F7"/>
    <w:rsid w:val="00764D19"/>
    <w:rsid w:val="00765510"/>
    <w:rsid w:val="00765FA9"/>
    <w:rsid w:val="0076725A"/>
    <w:rsid w:val="007672CC"/>
    <w:rsid w:val="00767940"/>
    <w:rsid w:val="00770A13"/>
    <w:rsid w:val="00770A96"/>
    <w:rsid w:val="00770F30"/>
    <w:rsid w:val="00771A23"/>
    <w:rsid w:val="00772A06"/>
    <w:rsid w:val="00772A67"/>
    <w:rsid w:val="007734D2"/>
    <w:rsid w:val="00775E1B"/>
    <w:rsid w:val="007766B4"/>
    <w:rsid w:val="00780288"/>
    <w:rsid w:val="00780366"/>
    <w:rsid w:val="0078109F"/>
    <w:rsid w:val="00781952"/>
    <w:rsid w:val="007823C4"/>
    <w:rsid w:val="00782F20"/>
    <w:rsid w:val="0078385E"/>
    <w:rsid w:val="00783B16"/>
    <w:rsid w:val="007848DA"/>
    <w:rsid w:val="00784C1E"/>
    <w:rsid w:val="00785EC1"/>
    <w:rsid w:val="007862D4"/>
    <w:rsid w:val="00787353"/>
    <w:rsid w:val="00787B22"/>
    <w:rsid w:val="00790141"/>
    <w:rsid w:val="0079073A"/>
    <w:rsid w:val="00790821"/>
    <w:rsid w:val="0079154C"/>
    <w:rsid w:val="00793068"/>
    <w:rsid w:val="00794443"/>
    <w:rsid w:val="007948A5"/>
    <w:rsid w:val="00796532"/>
    <w:rsid w:val="007972A4"/>
    <w:rsid w:val="007972B2"/>
    <w:rsid w:val="00797562"/>
    <w:rsid w:val="00797F1A"/>
    <w:rsid w:val="00797F81"/>
    <w:rsid w:val="007A068B"/>
    <w:rsid w:val="007A25E1"/>
    <w:rsid w:val="007A281E"/>
    <w:rsid w:val="007A39D2"/>
    <w:rsid w:val="007A5159"/>
    <w:rsid w:val="007A5B61"/>
    <w:rsid w:val="007A682D"/>
    <w:rsid w:val="007A700A"/>
    <w:rsid w:val="007B0AA0"/>
    <w:rsid w:val="007B0C99"/>
    <w:rsid w:val="007B25B3"/>
    <w:rsid w:val="007B25F5"/>
    <w:rsid w:val="007B4479"/>
    <w:rsid w:val="007B4C87"/>
    <w:rsid w:val="007B53DD"/>
    <w:rsid w:val="007B574C"/>
    <w:rsid w:val="007B63A3"/>
    <w:rsid w:val="007B66ED"/>
    <w:rsid w:val="007B6E5A"/>
    <w:rsid w:val="007B7B82"/>
    <w:rsid w:val="007B7CF7"/>
    <w:rsid w:val="007C0242"/>
    <w:rsid w:val="007C0EE2"/>
    <w:rsid w:val="007C103D"/>
    <w:rsid w:val="007C142A"/>
    <w:rsid w:val="007C181D"/>
    <w:rsid w:val="007C1AA2"/>
    <w:rsid w:val="007C1D38"/>
    <w:rsid w:val="007C24C0"/>
    <w:rsid w:val="007C3053"/>
    <w:rsid w:val="007C471E"/>
    <w:rsid w:val="007C4C2B"/>
    <w:rsid w:val="007C4D5E"/>
    <w:rsid w:val="007C53FC"/>
    <w:rsid w:val="007C6229"/>
    <w:rsid w:val="007C73D1"/>
    <w:rsid w:val="007C7471"/>
    <w:rsid w:val="007C7CEB"/>
    <w:rsid w:val="007D017D"/>
    <w:rsid w:val="007D08B5"/>
    <w:rsid w:val="007D1B0B"/>
    <w:rsid w:val="007D1CDB"/>
    <w:rsid w:val="007D2102"/>
    <w:rsid w:val="007D2807"/>
    <w:rsid w:val="007D2ECE"/>
    <w:rsid w:val="007D3128"/>
    <w:rsid w:val="007D33B4"/>
    <w:rsid w:val="007D3FB5"/>
    <w:rsid w:val="007D493F"/>
    <w:rsid w:val="007D5561"/>
    <w:rsid w:val="007D6A08"/>
    <w:rsid w:val="007D6A4F"/>
    <w:rsid w:val="007D6F1D"/>
    <w:rsid w:val="007E0029"/>
    <w:rsid w:val="007E00C7"/>
    <w:rsid w:val="007E03A4"/>
    <w:rsid w:val="007E074C"/>
    <w:rsid w:val="007E101F"/>
    <w:rsid w:val="007E1130"/>
    <w:rsid w:val="007E128D"/>
    <w:rsid w:val="007E12A5"/>
    <w:rsid w:val="007E1E7F"/>
    <w:rsid w:val="007E205A"/>
    <w:rsid w:val="007E26E2"/>
    <w:rsid w:val="007E2B8A"/>
    <w:rsid w:val="007E3175"/>
    <w:rsid w:val="007E4D1A"/>
    <w:rsid w:val="007E6628"/>
    <w:rsid w:val="007E7C44"/>
    <w:rsid w:val="007F05CD"/>
    <w:rsid w:val="007F2544"/>
    <w:rsid w:val="007F257D"/>
    <w:rsid w:val="007F2833"/>
    <w:rsid w:val="007F3368"/>
    <w:rsid w:val="007F344D"/>
    <w:rsid w:val="007F4275"/>
    <w:rsid w:val="007F564F"/>
    <w:rsid w:val="007F68A1"/>
    <w:rsid w:val="00800276"/>
    <w:rsid w:val="0080058C"/>
    <w:rsid w:val="00800C68"/>
    <w:rsid w:val="00800FB2"/>
    <w:rsid w:val="00801684"/>
    <w:rsid w:val="00801E49"/>
    <w:rsid w:val="00801EF9"/>
    <w:rsid w:val="00803B70"/>
    <w:rsid w:val="00804053"/>
    <w:rsid w:val="00805195"/>
    <w:rsid w:val="00805D1A"/>
    <w:rsid w:val="00806C9D"/>
    <w:rsid w:val="00807A78"/>
    <w:rsid w:val="00810402"/>
    <w:rsid w:val="00810797"/>
    <w:rsid w:val="008109C6"/>
    <w:rsid w:val="008123D2"/>
    <w:rsid w:val="008136AD"/>
    <w:rsid w:val="00814222"/>
    <w:rsid w:val="00815198"/>
    <w:rsid w:val="00815427"/>
    <w:rsid w:val="008154B6"/>
    <w:rsid w:val="00816533"/>
    <w:rsid w:val="008168CE"/>
    <w:rsid w:val="00816E79"/>
    <w:rsid w:val="00817696"/>
    <w:rsid w:val="008205A2"/>
    <w:rsid w:val="00820B5E"/>
    <w:rsid w:val="00821FDE"/>
    <w:rsid w:val="00822042"/>
    <w:rsid w:val="008220EF"/>
    <w:rsid w:val="008221D1"/>
    <w:rsid w:val="008225C2"/>
    <w:rsid w:val="008236FC"/>
    <w:rsid w:val="00824681"/>
    <w:rsid w:val="00825079"/>
    <w:rsid w:val="008259C1"/>
    <w:rsid w:val="008276B3"/>
    <w:rsid w:val="00830805"/>
    <w:rsid w:val="00830D5D"/>
    <w:rsid w:val="00831337"/>
    <w:rsid w:val="00831B05"/>
    <w:rsid w:val="00832670"/>
    <w:rsid w:val="00833670"/>
    <w:rsid w:val="008347A8"/>
    <w:rsid w:val="00834BBB"/>
    <w:rsid w:val="008358F0"/>
    <w:rsid w:val="00835D3F"/>
    <w:rsid w:val="00836974"/>
    <w:rsid w:val="00836C90"/>
    <w:rsid w:val="00837558"/>
    <w:rsid w:val="00837DE9"/>
    <w:rsid w:val="008405B6"/>
    <w:rsid w:val="00840858"/>
    <w:rsid w:val="00841906"/>
    <w:rsid w:val="00841A75"/>
    <w:rsid w:val="0084225F"/>
    <w:rsid w:val="00842BD2"/>
    <w:rsid w:val="0084319E"/>
    <w:rsid w:val="0084321C"/>
    <w:rsid w:val="00843371"/>
    <w:rsid w:val="008438BB"/>
    <w:rsid w:val="00844566"/>
    <w:rsid w:val="00846483"/>
    <w:rsid w:val="008508B2"/>
    <w:rsid w:val="00854031"/>
    <w:rsid w:val="008543C6"/>
    <w:rsid w:val="008547B6"/>
    <w:rsid w:val="008549D6"/>
    <w:rsid w:val="0085526A"/>
    <w:rsid w:val="00856D3D"/>
    <w:rsid w:val="008576D1"/>
    <w:rsid w:val="008603AD"/>
    <w:rsid w:val="008614B0"/>
    <w:rsid w:val="00862C75"/>
    <w:rsid w:val="00862EAD"/>
    <w:rsid w:val="00863157"/>
    <w:rsid w:val="008638FC"/>
    <w:rsid w:val="008646AD"/>
    <w:rsid w:val="00864CFC"/>
    <w:rsid w:val="00864E03"/>
    <w:rsid w:val="0086519C"/>
    <w:rsid w:val="0086528B"/>
    <w:rsid w:val="00866F95"/>
    <w:rsid w:val="00867009"/>
    <w:rsid w:val="00870048"/>
    <w:rsid w:val="00871B02"/>
    <w:rsid w:val="0087281A"/>
    <w:rsid w:val="008732DD"/>
    <w:rsid w:val="00873479"/>
    <w:rsid w:val="00873AC9"/>
    <w:rsid w:val="00874423"/>
    <w:rsid w:val="00874640"/>
    <w:rsid w:val="00874942"/>
    <w:rsid w:val="00874E14"/>
    <w:rsid w:val="00875185"/>
    <w:rsid w:val="008764EA"/>
    <w:rsid w:val="00876529"/>
    <w:rsid w:val="0087785E"/>
    <w:rsid w:val="00880E37"/>
    <w:rsid w:val="0088135B"/>
    <w:rsid w:val="008839C2"/>
    <w:rsid w:val="00884958"/>
    <w:rsid w:val="008849C3"/>
    <w:rsid w:val="00884B42"/>
    <w:rsid w:val="00886D75"/>
    <w:rsid w:val="00890383"/>
    <w:rsid w:val="00890574"/>
    <w:rsid w:val="00890C27"/>
    <w:rsid w:val="00890D44"/>
    <w:rsid w:val="0089117C"/>
    <w:rsid w:val="00892B0B"/>
    <w:rsid w:val="00894345"/>
    <w:rsid w:val="00894ABA"/>
    <w:rsid w:val="00895459"/>
    <w:rsid w:val="00895BE4"/>
    <w:rsid w:val="00895FB2"/>
    <w:rsid w:val="0089609E"/>
    <w:rsid w:val="00896890"/>
    <w:rsid w:val="008969C8"/>
    <w:rsid w:val="00896C56"/>
    <w:rsid w:val="00897DD8"/>
    <w:rsid w:val="00897F6D"/>
    <w:rsid w:val="00897F8B"/>
    <w:rsid w:val="008A04E2"/>
    <w:rsid w:val="008A0AAC"/>
    <w:rsid w:val="008A1AB7"/>
    <w:rsid w:val="008A1E8D"/>
    <w:rsid w:val="008A20D9"/>
    <w:rsid w:val="008A2D3C"/>
    <w:rsid w:val="008A2ED4"/>
    <w:rsid w:val="008A35C6"/>
    <w:rsid w:val="008A4DAD"/>
    <w:rsid w:val="008A586C"/>
    <w:rsid w:val="008A65D3"/>
    <w:rsid w:val="008A715F"/>
    <w:rsid w:val="008A728A"/>
    <w:rsid w:val="008A7600"/>
    <w:rsid w:val="008A76AD"/>
    <w:rsid w:val="008A7AF8"/>
    <w:rsid w:val="008B0DB0"/>
    <w:rsid w:val="008B1D1A"/>
    <w:rsid w:val="008B33EF"/>
    <w:rsid w:val="008B4869"/>
    <w:rsid w:val="008C18B0"/>
    <w:rsid w:val="008C1E3A"/>
    <w:rsid w:val="008C1EF7"/>
    <w:rsid w:val="008C22C4"/>
    <w:rsid w:val="008C4ACD"/>
    <w:rsid w:val="008C5692"/>
    <w:rsid w:val="008C5A46"/>
    <w:rsid w:val="008C6F27"/>
    <w:rsid w:val="008C712E"/>
    <w:rsid w:val="008D0444"/>
    <w:rsid w:val="008D0ADB"/>
    <w:rsid w:val="008D1891"/>
    <w:rsid w:val="008D24CF"/>
    <w:rsid w:val="008D3696"/>
    <w:rsid w:val="008D7086"/>
    <w:rsid w:val="008D73E5"/>
    <w:rsid w:val="008D7503"/>
    <w:rsid w:val="008D7536"/>
    <w:rsid w:val="008E07C9"/>
    <w:rsid w:val="008E093F"/>
    <w:rsid w:val="008E0B47"/>
    <w:rsid w:val="008E1474"/>
    <w:rsid w:val="008E1C40"/>
    <w:rsid w:val="008E240E"/>
    <w:rsid w:val="008E3484"/>
    <w:rsid w:val="008E3BDF"/>
    <w:rsid w:val="008E4D59"/>
    <w:rsid w:val="008E508E"/>
    <w:rsid w:val="008E6763"/>
    <w:rsid w:val="008E6F22"/>
    <w:rsid w:val="008E76A3"/>
    <w:rsid w:val="008E7754"/>
    <w:rsid w:val="008E7DCE"/>
    <w:rsid w:val="008E7FA7"/>
    <w:rsid w:val="008F1191"/>
    <w:rsid w:val="008F1D64"/>
    <w:rsid w:val="008F23E7"/>
    <w:rsid w:val="008F254F"/>
    <w:rsid w:val="008F308D"/>
    <w:rsid w:val="008F3155"/>
    <w:rsid w:val="008F4232"/>
    <w:rsid w:val="008F4B88"/>
    <w:rsid w:val="008F545F"/>
    <w:rsid w:val="008F5CF4"/>
    <w:rsid w:val="008F5D84"/>
    <w:rsid w:val="008F6DC0"/>
    <w:rsid w:val="008F6FD6"/>
    <w:rsid w:val="009009C1"/>
    <w:rsid w:val="009009EB"/>
    <w:rsid w:val="0090194C"/>
    <w:rsid w:val="0090324D"/>
    <w:rsid w:val="00903A01"/>
    <w:rsid w:val="009051CE"/>
    <w:rsid w:val="0090560C"/>
    <w:rsid w:val="00905908"/>
    <w:rsid w:val="00906BDF"/>
    <w:rsid w:val="00906E91"/>
    <w:rsid w:val="0090753F"/>
    <w:rsid w:val="00910B80"/>
    <w:rsid w:val="00911268"/>
    <w:rsid w:val="00911739"/>
    <w:rsid w:val="00911B3E"/>
    <w:rsid w:val="00912222"/>
    <w:rsid w:val="00913603"/>
    <w:rsid w:val="009139FD"/>
    <w:rsid w:val="00913AA0"/>
    <w:rsid w:val="00913C66"/>
    <w:rsid w:val="009149C3"/>
    <w:rsid w:val="00914F1B"/>
    <w:rsid w:val="0091549A"/>
    <w:rsid w:val="00915805"/>
    <w:rsid w:val="00920602"/>
    <w:rsid w:val="00920C60"/>
    <w:rsid w:val="00920F70"/>
    <w:rsid w:val="009214B9"/>
    <w:rsid w:val="00921F20"/>
    <w:rsid w:val="00923AF0"/>
    <w:rsid w:val="00923CED"/>
    <w:rsid w:val="009243DE"/>
    <w:rsid w:val="0092529D"/>
    <w:rsid w:val="009259E6"/>
    <w:rsid w:val="00925FDE"/>
    <w:rsid w:val="00926792"/>
    <w:rsid w:val="00926DA5"/>
    <w:rsid w:val="00927322"/>
    <w:rsid w:val="0092787B"/>
    <w:rsid w:val="00930489"/>
    <w:rsid w:val="00930CC6"/>
    <w:rsid w:val="009318B7"/>
    <w:rsid w:val="009322FD"/>
    <w:rsid w:val="00932AFF"/>
    <w:rsid w:val="009335CF"/>
    <w:rsid w:val="00933E36"/>
    <w:rsid w:val="009345CC"/>
    <w:rsid w:val="00934A40"/>
    <w:rsid w:val="00935265"/>
    <w:rsid w:val="00935DB8"/>
    <w:rsid w:val="00935E38"/>
    <w:rsid w:val="00936252"/>
    <w:rsid w:val="00937432"/>
    <w:rsid w:val="00937CCB"/>
    <w:rsid w:val="00940508"/>
    <w:rsid w:val="00940DB1"/>
    <w:rsid w:val="009411D9"/>
    <w:rsid w:val="00941C3B"/>
    <w:rsid w:val="00941E13"/>
    <w:rsid w:val="009427A7"/>
    <w:rsid w:val="00943972"/>
    <w:rsid w:val="00945127"/>
    <w:rsid w:val="009454BE"/>
    <w:rsid w:val="0094642C"/>
    <w:rsid w:val="00950461"/>
    <w:rsid w:val="009506A7"/>
    <w:rsid w:val="009514E6"/>
    <w:rsid w:val="00951570"/>
    <w:rsid w:val="00951B6B"/>
    <w:rsid w:val="00951B7D"/>
    <w:rsid w:val="00952461"/>
    <w:rsid w:val="00953C4D"/>
    <w:rsid w:val="009543E1"/>
    <w:rsid w:val="00954C73"/>
    <w:rsid w:val="00954F99"/>
    <w:rsid w:val="0095569E"/>
    <w:rsid w:val="0095573E"/>
    <w:rsid w:val="00955A0B"/>
    <w:rsid w:val="00955B73"/>
    <w:rsid w:val="00955EAA"/>
    <w:rsid w:val="0095640C"/>
    <w:rsid w:val="00956601"/>
    <w:rsid w:val="00956B07"/>
    <w:rsid w:val="00956F83"/>
    <w:rsid w:val="00957208"/>
    <w:rsid w:val="009578EF"/>
    <w:rsid w:val="009606E2"/>
    <w:rsid w:val="00960A1C"/>
    <w:rsid w:val="00960CB4"/>
    <w:rsid w:val="009611FC"/>
    <w:rsid w:val="00961A8B"/>
    <w:rsid w:val="009622B6"/>
    <w:rsid w:val="00962BEA"/>
    <w:rsid w:val="00962D22"/>
    <w:rsid w:val="00963F62"/>
    <w:rsid w:val="00965F40"/>
    <w:rsid w:val="009660CB"/>
    <w:rsid w:val="0096710F"/>
    <w:rsid w:val="009671FC"/>
    <w:rsid w:val="00967B09"/>
    <w:rsid w:val="0097036F"/>
    <w:rsid w:val="00970967"/>
    <w:rsid w:val="00970ED6"/>
    <w:rsid w:val="009710B7"/>
    <w:rsid w:val="009714D4"/>
    <w:rsid w:val="00971635"/>
    <w:rsid w:val="009739C2"/>
    <w:rsid w:val="00975D3F"/>
    <w:rsid w:val="00976061"/>
    <w:rsid w:val="00976E24"/>
    <w:rsid w:val="00977185"/>
    <w:rsid w:val="009773FD"/>
    <w:rsid w:val="00980249"/>
    <w:rsid w:val="0098217D"/>
    <w:rsid w:val="009826D4"/>
    <w:rsid w:val="00982B09"/>
    <w:rsid w:val="00982ED8"/>
    <w:rsid w:val="0098422D"/>
    <w:rsid w:val="00984BAE"/>
    <w:rsid w:val="00984D87"/>
    <w:rsid w:val="00985637"/>
    <w:rsid w:val="0098664A"/>
    <w:rsid w:val="00990063"/>
    <w:rsid w:val="009901AE"/>
    <w:rsid w:val="00991CE2"/>
    <w:rsid w:val="00991F3E"/>
    <w:rsid w:val="00992218"/>
    <w:rsid w:val="009927FB"/>
    <w:rsid w:val="00992F9F"/>
    <w:rsid w:val="00993751"/>
    <w:rsid w:val="0099552F"/>
    <w:rsid w:val="00996752"/>
    <w:rsid w:val="00996818"/>
    <w:rsid w:val="0099718D"/>
    <w:rsid w:val="009A007D"/>
    <w:rsid w:val="009A045B"/>
    <w:rsid w:val="009A089A"/>
    <w:rsid w:val="009A09FD"/>
    <w:rsid w:val="009A0CEF"/>
    <w:rsid w:val="009A113F"/>
    <w:rsid w:val="009A1849"/>
    <w:rsid w:val="009A2204"/>
    <w:rsid w:val="009A26A7"/>
    <w:rsid w:val="009A339A"/>
    <w:rsid w:val="009A3695"/>
    <w:rsid w:val="009A3D5B"/>
    <w:rsid w:val="009A4839"/>
    <w:rsid w:val="009A5DF1"/>
    <w:rsid w:val="009A74D5"/>
    <w:rsid w:val="009A77C0"/>
    <w:rsid w:val="009A7DB1"/>
    <w:rsid w:val="009B00B3"/>
    <w:rsid w:val="009B0244"/>
    <w:rsid w:val="009B0266"/>
    <w:rsid w:val="009B06F2"/>
    <w:rsid w:val="009B112E"/>
    <w:rsid w:val="009B1D98"/>
    <w:rsid w:val="009B2C2C"/>
    <w:rsid w:val="009B34CC"/>
    <w:rsid w:val="009B35FB"/>
    <w:rsid w:val="009B46C3"/>
    <w:rsid w:val="009B4884"/>
    <w:rsid w:val="009B490A"/>
    <w:rsid w:val="009B765F"/>
    <w:rsid w:val="009C0C0C"/>
    <w:rsid w:val="009C1557"/>
    <w:rsid w:val="009C1BDD"/>
    <w:rsid w:val="009C4486"/>
    <w:rsid w:val="009C5068"/>
    <w:rsid w:val="009C57D4"/>
    <w:rsid w:val="009C62F2"/>
    <w:rsid w:val="009C726D"/>
    <w:rsid w:val="009C75AF"/>
    <w:rsid w:val="009C7C76"/>
    <w:rsid w:val="009C7E52"/>
    <w:rsid w:val="009D1693"/>
    <w:rsid w:val="009D19F3"/>
    <w:rsid w:val="009D25F8"/>
    <w:rsid w:val="009D2B0A"/>
    <w:rsid w:val="009D3ECD"/>
    <w:rsid w:val="009D4CDA"/>
    <w:rsid w:val="009D504F"/>
    <w:rsid w:val="009D51ED"/>
    <w:rsid w:val="009D5202"/>
    <w:rsid w:val="009D5884"/>
    <w:rsid w:val="009D6AD4"/>
    <w:rsid w:val="009D72F0"/>
    <w:rsid w:val="009D75E4"/>
    <w:rsid w:val="009D7CD3"/>
    <w:rsid w:val="009D7CE4"/>
    <w:rsid w:val="009E0048"/>
    <w:rsid w:val="009E094D"/>
    <w:rsid w:val="009E125F"/>
    <w:rsid w:val="009E16BA"/>
    <w:rsid w:val="009E1FFA"/>
    <w:rsid w:val="009E3F53"/>
    <w:rsid w:val="009E4AEC"/>
    <w:rsid w:val="009E4B5E"/>
    <w:rsid w:val="009E4DF1"/>
    <w:rsid w:val="009E6423"/>
    <w:rsid w:val="009E6430"/>
    <w:rsid w:val="009E647F"/>
    <w:rsid w:val="009E6F7A"/>
    <w:rsid w:val="009E7E34"/>
    <w:rsid w:val="009F0EDD"/>
    <w:rsid w:val="009F16F6"/>
    <w:rsid w:val="009F1C77"/>
    <w:rsid w:val="009F1DBE"/>
    <w:rsid w:val="009F1F17"/>
    <w:rsid w:val="009F362E"/>
    <w:rsid w:val="009F3E2A"/>
    <w:rsid w:val="009F43B6"/>
    <w:rsid w:val="009F463D"/>
    <w:rsid w:val="009F5F73"/>
    <w:rsid w:val="009F6768"/>
    <w:rsid w:val="009F67C8"/>
    <w:rsid w:val="009F6D46"/>
    <w:rsid w:val="00A00402"/>
    <w:rsid w:val="00A00E37"/>
    <w:rsid w:val="00A01958"/>
    <w:rsid w:val="00A02A91"/>
    <w:rsid w:val="00A02F1E"/>
    <w:rsid w:val="00A035D9"/>
    <w:rsid w:val="00A056D2"/>
    <w:rsid w:val="00A06834"/>
    <w:rsid w:val="00A06C4B"/>
    <w:rsid w:val="00A0735B"/>
    <w:rsid w:val="00A077D0"/>
    <w:rsid w:val="00A0784B"/>
    <w:rsid w:val="00A07952"/>
    <w:rsid w:val="00A107D3"/>
    <w:rsid w:val="00A10948"/>
    <w:rsid w:val="00A10F0D"/>
    <w:rsid w:val="00A11496"/>
    <w:rsid w:val="00A1190C"/>
    <w:rsid w:val="00A11DE7"/>
    <w:rsid w:val="00A13118"/>
    <w:rsid w:val="00A14214"/>
    <w:rsid w:val="00A14E23"/>
    <w:rsid w:val="00A16410"/>
    <w:rsid w:val="00A219B7"/>
    <w:rsid w:val="00A23011"/>
    <w:rsid w:val="00A23372"/>
    <w:rsid w:val="00A23EE4"/>
    <w:rsid w:val="00A246E2"/>
    <w:rsid w:val="00A2482A"/>
    <w:rsid w:val="00A2528B"/>
    <w:rsid w:val="00A256E4"/>
    <w:rsid w:val="00A25732"/>
    <w:rsid w:val="00A25854"/>
    <w:rsid w:val="00A271CE"/>
    <w:rsid w:val="00A30CE5"/>
    <w:rsid w:val="00A30EAC"/>
    <w:rsid w:val="00A30F28"/>
    <w:rsid w:val="00A31F9C"/>
    <w:rsid w:val="00A323DF"/>
    <w:rsid w:val="00A32A28"/>
    <w:rsid w:val="00A32A8C"/>
    <w:rsid w:val="00A33931"/>
    <w:rsid w:val="00A34392"/>
    <w:rsid w:val="00A36539"/>
    <w:rsid w:val="00A3666B"/>
    <w:rsid w:val="00A36C27"/>
    <w:rsid w:val="00A36C87"/>
    <w:rsid w:val="00A37CA6"/>
    <w:rsid w:val="00A40254"/>
    <w:rsid w:val="00A420A3"/>
    <w:rsid w:val="00A42113"/>
    <w:rsid w:val="00A425A9"/>
    <w:rsid w:val="00A42E5C"/>
    <w:rsid w:val="00A4304B"/>
    <w:rsid w:val="00A435BC"/>
    <w:rsid w:val="00A440F1"/>
    <w:rsid w:val="00A45081"/>
    <w:rsid w:val="00A45353"/>
    <w:rsid w:val="00A453CB"/>
    <w:rsid w:val="00A45E91"/>
    <w:rsid w:val="00A47C72"/>
    <w:rsid w:val="00A505A7"/>
    <w:rsid w:val="00A5077D"/>
    <w:rsid w:val="00A5127A"/>
    <w:rsid w:val="00A5254D"/>
    <w:rsid w:val="00A53AAE"/>
    <w:rsid w:val="00A543D7"/>
    <w:rsid w:val="00A546D4"/>
    <w:rsid w:val="00A5625C"/>
    <w:rsid w:val="00A56C23"/>
    <w:rsid w:val="00A5717C"/>
    <w:rsid w:val="00A57C92"/>
    <w:rsid w:val="00A60882"/>
    <w:rsid w:val="00A60E47"/>
    <w:rsid w:val="00A62B98"/>
    <w:rsid w:val="00A652EE"/>
    <w:rsid w:val="00A658E0"/>
    <w:rsid w:val="00A65A0A"/>
    <w:rsid w:val="00A65BF9"/>
    <w:rsid w:val="00A65C5E"/>
    <w:rsid w:val="00A65E16"/>
    <w:rsid w:val="00A67118"/>
    <w:rsid w:val="00A67597"/>
    <w:rsid w:val="00A675F6"/>
    <w:rsid w:val="00A67764"/>
    <w:rsid w:val="00A702D2"/>
    <w:rsid w:val="00A70774"/>
    <w:rsid w:val="00A7249F"/>
    <w:rsid w:val="00A73156"/>
    <w:rsid w:val="00A731F5"/>
    <w:rsid w:val="00A7328C"/>
    <w:rsid w:val="00A73B04"/>
    <w:rsid w:val="00A7490E"/>
    <w:rsid w:val="00A74DE9"/>
    <w:rsid w:val="00A7541C"/>
    <w:rsid w:val="00A75AA1"/>
    <w:rsid w:val="00A76570"/>
    <w:rsid w:val="00A812F3"/>
    <w:rsid w:val="00A818AC"/>
    <w:rsid w:val="00A82486"/>
    <w:rsid w:val="00A82E7F"/>
    <w:rsid w:val="00A82F4C"/>
    <w:rsid w:val="00A82F9B"/>
    <w:rsid w:val="00A83881"/>
    <w:rsid w:val="00A83FBF"/>
    <w:rsid w:val="00A854A8"/>
    <w:rsid w:val="00A858DE"/>
    <w:rsid w:val="00A865F4"/>
    <w:rsid w:val="00A87305"/>
    <w:rsid w:val="00A8741E"/>
    <w:rsid w:val="00A87477"/>
    <w:rsid w:val="00A87830"/>
    <w:rsid w:val="00A878AA"/>
    <w:rsid w:val="00A9088C"/>
    <w:rsid w:val="00A91088"/>
    <w:rsid w:val="00A9126A"/>
    <w:rsid w:val="00A917F5"/>
    <w:rsid w:val="00A91A51"/>
    <w:rsid w:val="00A91B67"/>
    <w:rsid w:val="00A92A00"/>
    <w:rsid w:val="00A94E04"/>
    <w:rsid w:val="00A95056"/>
    <w:rsid w:val="00A95317"/>
    <w:rsid w:val="00A957A4"/>
    <w:rsid w:val="00A95EC6"/>
    <w:rsid w:val="00A96563"/>
    <w:rsid w:val="00A96C16"/>
    <w:rsid w:val="00A978F3"/>
    <w:rsid w:val="00A97A56"/>
    <w:rsid w:val="00A97FAD"/>
    <w:rsid w:val="00AA046E"/>
    <w:rsid w:val="00AA098D"/>
    <w:rsid w:val="00AA175E"/>
    <w:rsid w:val="00AA1AA7"/>
    <w:rsid w:val="00AA25A8"/>
    <w:rsid w:val="00AA28E9"/>
    <w:rsid w:val="00AA36E8"/>
    <w:rsid w:val="00AA386E"/>
    <w:rsid w:val="00AA3BC5"/>
    <w:rsid w:val="00AA501C"/>
    <w:rsid w:val="00AA5BE5"/>
    <w:rsid w:val="00AA6072"/>
    <w:rsid w:val="00AA6535"/>
    <w:rsid w:val="00AA674D"/>
    <w:rsid w:val="00AA6902"/>
    <w:rsid w:val="00AA696C"/>
    <w:rsid w:val="00AA7240"/>
    <w:rsid w:val="00AA7390"/>
    <w:rsid w:val="00AA7BD5"/>
    <w:rsid w:val="00AB0B1B"/>
    <w:rsid w:val="00AB13A1"/>
    <w:rsid w:val="00AB1569"/>
    <w:rsid w:val="00AB1793"/>
    <w:rsid w:val="00AB235F"/>
    <w:rsid w:val="00AB37A2"/>
    <w:rsid w:val="00AB4C03"/>
    <w:rsid w:val="00AB5920"/>
    <w:rsid w:val="00AB7F8B"/>
    <w:rsid w:val="00AC0241"/>
    <w:rsid w:val="00AC1506"/>
    <w:rsid w:val="00AC1FED"/>
    <w:rsid w:val="00AC3A50"/>
    <w:rsid w:val="00AC4282"/>
    <w:rsid w:val="00AC4481"/>
    <w:rsid w:val="00AC47FC"/>
    <w:rsid w:val="00AC566B"/>
    <w:rsid w:val="00AC5830"/>
    <w:rsid w:val="00AC5977"/>
    <w:rsid w:val="00AC5BF5"/>
    <w:rsid w:val="00AC5D62"/>
    <w:rsid w:val="00AC71DB"/>
    <w:rsid w:val="00AC7EC9"/>
    <w:rsid w:val="00AD0B13"/>
    <w:rsid w:val="00AD0ED9"/>
    <w:rsid w:val="00AD12E1"/>
    <w:rsid w:val="00AD156A"/>
    <w:rsid w:val="00AD1C92"/>
    <w:rsid w:val="00AD2571"/>
    <w:rsid w:val="00AD2AA0"/>
    <w:rsid w:val="00AD2B80"/>
    <w:rsid w:val="00AD2D16"/>
    <w:rsid w:val="00AD33CB"/>
    <w:rsid w:val="00AD3A57"/>
    <w:rsid w:val="00AD51F6"/>
    <w:rsid w:val="00AD6B50"/>
    <w:rsid w:val="00AE00E8"/>
    <w:rsid w:val="00AE02EA"/>
    <w:rsid w:val="00AE058C"/>
    <w:rsid w:val="00AE06AD"/>
    <w:rsid w:val="00AE07E2"/>
    <w:rsid w:val="00AE098B"/>
    <w:rsid w:val="00AE271B"/>
    <w:rsid w:val="00AE275E"/>
    <w:rsid w:val="00AE3606"/>
    <w:rsid w:val="00AE4408"/>
    <w:rsid w:val="00AE5DFD"/>
    <w:rsid w:val="00AE6101"/>
    <w:rsid w:val="00AE71E2"/>
    <w:rsid w:val="00AE735D"/>
    <w:rsid w:val="00AE7BDF"/>
    <w:rsid w:val="00AE7EFA"/>
    <w:rsid w:val="00AF0318"/>
    <w:rsid w:val="00AF055A"/>
    <w:rsid w:val="00AF1779"/>
    <w:rsid w:val="00AF1FCE"/>
    <w:rsid w:val="00AF25BB"/>
    <w:rsid w:val="00AF2BE5"/>
    <w:rsid w:val="00AF2F58"/>
    <w:rsid w:val="00AF3002"/>
    <w:rsid w:val="00AF3E48"/>
    <w:rsid w:val="00AF56C5"/>
    <w:rsid w:val="00AF56FD"/>
    <w:rsid w:val="00AF57FF"/>
    <w:rsid w:val="00AF5A25"/>
    <w:rsid w:val="00AF5E75"/>
    <w:rsid w:val="00AF6F85"/>
    <w:rsid w:val="00B008D9"/>
    <w:rsid w:val="00B01AB3"/>
    <w:rsid w:val="00B01C9B"/>
    <w:rsid w:val="00B02577"/>
    <w:rsid w:val="00B0269A"/>
    <w:rsid w:val="00B02786"/>
    <w:rsid w:val="00B0286B"/>
    <w:rsid w:val="00B03D28"/>
    <w:rsid w:val="00B048A5"/>
    <w:rsid w:val="00B05844"/>
    <w:rsid w:val="00B11158"/>
    <w:rsid w:val="00B1229D"/>
    <w:rsid w:val="00B1279D"/>
    <w:rsid w:val="00B14B6B"/>
    <w:rsid w:val="00B1570B"/>
    <w:rsid w:val="00B16D35"/>
    <w:rsid w:val="00B16E28"/>
    <w:rsid w:val="00B17234"/>
    <w:rsid w:val="00B1764D"/>
    <w:rsid w:val="00B23379"/>
    <w:rsid w:val="00B2504D"/>
    <w:rsid w:val="00B2526D"/>
    <w:rsid w:val="00B25893"/>
    <w:rsid w:val="00B2652D"/>
    <w:rsid w:val="00B26B42"/>
    <w:rsid w:val="00B26DBC"/>
    <w:rsid w:val="00B26F17"/>
    <w:rsid w:val="00B271E8"/>
    <w:rsid w:val="00B31510"/>
    <w:rsid w:val="00B32185"/>
    <w:rsid w:val="00B325EA"/>
    <w:rsid w:val="00B32E8E"/>
    <w:rsid w:val="00B32EE6"/>
    <w:rsid w:val="00B33153"/>
    <w:rsid w:val="00B332B7"/>
    <w:rsid w:val="00B3347D"/>
    <w:rsid w:val="00B33483"/>
    <w:rsid w:val="00B336F4"/>
    <w:rsid w:val="00B33705"/>
    <w:rsid w:val="00B33B24"/>
    <w:rsid w:val="00B3464A"/>
    <w:rsid w:val="00B34E2D"/>
    <w:rsid w:val="00B34E40"/>
    <w:rsid w:val="00B35DD4"/>
    <w:rsid w:val="00B368C4"/>
    <w:rsid w:val="00B368DE"/>
    <w:rsid w:val="00B370A5"/>
    <w:rsid w:val="00B3730B"/>
    <w:rsid w:val="00B37811"/>
    <w:rsid w:val="00B379FB"/>
    <w:rsid w:val="00B37A29"/>
    <w:rsid w:val="00B40457"/>
    <w:rsid w:val="00B4046B"/>
    <w:rsid w:val="00B427C8"/>
    <w:rsid w:val="00B44017"/>
    <w:rsid w:val="00B44045"/>
    <w:rsid w:val="00B443DE"/>
    <w:rsid w:val="00B444BC"/>
    <w:rsid w:val="00B44ECA"/>
    <w:rsid w:val="00B45066"/>
    <w:rsid w:val="00B45968"/>
    <w:rsid w:val="00B4759F"/>
    <w:rsid w:val="00B47A71"/>
    <w:rsid w:val="00B5055D"/>
    <w:rsid w:val="00B507B8"/>
    <w:rsid w:val="00B5098B"/>
    <w:rsid w:val="00B51607"/>
    <w:rsid w:val="00B519AB"/>
    <w:rsid w:val="00B51A22"/>
    <w:rsid w:val="00B51A56"/>
    <w:rsid w:val="00B51A96"/>
    <w:rsid w:val="00B522F5"/>
    <w:rsid w:val="00B52A87"/>
    <w:rsid w:val="00B535F1"/>
    <w:rsid w:val="00B5435F"/>
    <w:rsid w:val="00B54A83"/>
    <w:rsid w:val="00B5540A"/>
    <w:rsid w:val="00B5588D"/>
    <w:rsid w:val="00B56353"/>
    <w:rsid w:val="00B5637F"/>
    <w:rsid w:val="00B601AE"/>
    <w:rsid w:val="00B602DC"/>
    <w:rsid w:val="00B605C5"/>
    <w:rsid w:val="00B611AC"/>
    <w:rsid w:val="00B613BD"/>
    <w:rsid w:val="00B61684"/>
    <w:rsid w:val="00B61871"/>
    <w:rsid w:val="00B620C4"/>
    <w:rsid w:val="00B62385"/>
    <w:rsid w:val="00B62C31"/>
    <w:rsid w:val="00B633C0"/>
    <w:rsid w:val="00B64CB9"/>
    <w:rsid w:val="00B64ED2"/>
    <w:rsid w:val="00B65182"/>
    <w:rsid w:val="00B654DA"/>
    <w:rsid w:val="00B65B62"/>
    <w:rsid w:val="00B71C2D"/>
    <w:rsid w:val="00B71DD7"/>
    <w:rsid w:val="00B71FD1"/>
    <w:rsid w:val="00B72256"/>
    <w:rsid w:val="00B72A36"/>
    <w:rsid w:val="00B72FE7"/>
    <w:rsid w:val="00B74248"/>
    <w:rsid w:val="00B744A6"/>
    <w:rsid w:val="00B75183"/>
    <w:rsid w:val="00B75994"/>
    <w:rsid w:val="00B75A36"/>
    <w:rsid w:val="00B75F15"/>
    <w:rsid w:val="00B76051"/>
    <w:rsid w:val="00B7664E"/>
    <w:rsid w:val="00B76904"/>
    <w:rsid w:val="00B77EDA"/>
    <w:rsid w:val="00B77EF0"/>
    <w:rsid w:val="00B800CB"/>
    <w:rsid w:val="00B808EB"/>
    <w:rsid w:val="00B81135"/>
    <w:rsid w:val="00B81DDE"/>
    <w:rsid w:val="00B822BD"/>
    <w:rsid w:val="00B82A80"/>
    <w:rsid w:val="00B83DE9"/>
    <w:rsid w:val="00B83E85"/>
    <w:rsid w:val="00B854DB"/>
    <w:rsid w:val="00B8593E"/>
    <w:rsid w:val="00B8629C"/>
    <w:rsid w:val="00B86A17"/>
    <w:rsid w:val="00B87119"/>
    <w:rsid w:val="00B87764"/>
    <w:rsid w:val="00B87B25"/>
    <w:rsid w:val="00B9096B"/>
    <w:rsid w:val="00B90A53"/>
    <w:rsid w:val="00B91863"/>
    <w:rsid w:val="00B9208B"/>
    <w:rsid w:val="00B92F19"/>
    <w:rsid w:val="00B92FA7"/>
    <w:rsid w:val="00B947C5"/>
    <w:rsid w:val="00B94B46"/>
    <w:rsid w:val="00B94C50"/>
    <w:rsid w:val="00B94E78"/>
    <w:rsid w:val="00B95A63"/>
    <w:rsid w:val="00B961B7"/>
    <w:rsid w:val="00B9716E"/>
    <w:rsid w:val="00B97173"/>
    <w:rsid w:val="00B971C8"/>
    <w:rsid w:val="00B977E8"/>
    <w:rsid w:val="00B97BF5"/>
    <w:rsid w:val="00BA0E5C"/>
    <w:rsid w:val="00BA17E4"/>
    <w:rsid w:val="00BA3460"/>
    <w:rsid w:val="00BA56F5"/>
    <w:rsid w:val="00BA5B3C"/>
    <w:rsid w:val="00BA62E8"/>
    <w:rsid w:val="00BA6AA0"/>
    <w:rsid w:val="00BA73EB"/>
    <w:rsid w:val="00BA7E39"/>
    <w:rsid w:val="00BB02EB"/>
    <w:rsid w:val="00BB032A"/>
    <w:rsid w:val="00BB095C"/>
    <w:rsid w:val="00BB09A1"/>
    <w:rsid w:val="00BB2B60"/>
    <w:rsid w:val="00BB2B68"/>
    <w:rsid w:val="00BB3915"/>
    <w:rsid w:val="00BB4B7F"/>
    <w:rsid w:val="00BB5FB0"/>
    <w:rsid w:val="00BB6098"/>
    <w:rsid w:val="00BB6B96"/>
    <w:rsid w:val="00BB78E1"/>
    <w:rsid w:val="00BB79B4"/>
    <w:rsid w:val="00BC0AB9"/>
    <w:rsid w:val="00BC1662"/>
    <w:rsid w:val="00BC1EFE"/>
    <w:rsid w:val="00BC281F"/>
    <w:rsid w:val="00BC2A7E"/>
    <w:rsid w:val="00BC375C"/>
    <w:rsid w:val="00BC3AB0"/>
    <w:rsid w:val="00BC4ABB"/>
    <w:rsid w:val="00BC5F0A"/>
    <w:rsid w:val="00BC6BC3"/>
    <w:rsid w:val="00BC7C95"/>
    <w:rsid w:val="00BD0A4D"/>
    <w:rsid w:val="00BD1671"/>
    <w:rsid w:val="00BD21EF"/>
    <w:rsid w:val="00BD2861"/>
    <w:rsid w:val="00BD2990"/>
    <w:rsid w:val="00BD2ED7"/>
    <w:rsid w:val="00BD4C8E"/>
    <w:rsid w:val="00BD5277"/>
    <w:rsid w:val="00BD5FBB"/>
    <w:rsid w:val="00BD6394"/>
    <w:rsid w:val="00BD656E"/>
    <w:rsid w:val="00BD658B"/>
    <w:rsid w:val="00BD685C"/>
    <w:rsid w:val="00BD76A1"/>
    <w:rsid w:val="00BE15B0"/>
    <w:rsid w:val="00BE18EE"/>
    <w:rsid w:val="00BE2E55"/>
    <w:rsid w:val="00BE349F"/>
    <w:rsid w:val="00BE3FF1"/>
    <w:rsid w:val="00BE41AA"/>
    <w:rsid w:val="00BE43A5"/>
    <w:rsid w:val="00BE4F80"/>
    <w:rsid w:val="00BE5282"/>
    <w:rsid w:val="00BE5572"/>
    <w:rsid w:val="00BE62FB"/>
    <w:rsid w:val="00BE6A79"/>
    <w:rsid w:val="00BE6CB2"/>
    <w:rsid w:val="00BE710F"/>
    <w:rsid w:val="00BE74A7"/>
    <w:rsid w:val="00BE789E"/>
    <w:rsid w:val="00BE7C15"/>
    <w:rsid w:val="00BF029B"/>
    <w:rsid w:val="00BF08F5"/>
    <w:rsid w:val="00BF132D"/>
    <w:rsid w:val="00BF19DF"/>
    <w:rsid w:val="00BF305A"/>
    <w:rsid w:val="00BF3667"/>
    <w:rsid w:val="00BF3940"/>
    <w:rsid w:val="00BF43F8"/>
    <w:rsid w:val="00BF48AF"/>
    <w:rsid w:val="00BF48E8"/>
    <w:rsid w:val="00BF5D03"/>
    <w:rsid w:val="00BF5E9E"/>
    <w:rsid w:val="00BF6CA5"/>
    <w:rsid w:val="00BF712D"/>
    <w:rsid w:val="00C002F2"/>
    <w:rsid w:val="00C00596"/>
    <w:rsid w:val="00C00B92"/>
    <w:rsid w:val="00C00F6D"/>
    <w:rsid w:val="00C014B2"/>
    <w:rsid w:val="00C01514"/>
    <w:rsid w:val="00C01749"/>
    <w:rsid w:val="00C02924"/>
    <w:rsid w:val="00C03BD0"/>
    <w:rsid w:val="00C03E6F"/>
    <w:rsid w:val="00C042CA"/>
    <w:rsid w:val="00C04FDE"/>
    <w:rsid w:val="00C05242"/>
    <w:rsid w:val="00C05DEB"/>
    <w:rsid w:val="00C06ED7"/>
    <w:rsid w:val="00C07510"/>
    <w:rsid w:val="00C07667"/>
    <w:rsid w:val="00C11080"/>
    <w:rsid w:val="00C1138D"/>
    <w:rsid w:val="00C12BBE"/>
    <w:rsid w:val="00C14077"/>
    <w:rsid w:val="00C146A9"/>
    <w:rsid w:val="00C14CE2"/>
    <w:rsid w:val="00C16BBC"/>
    <w:rsid w:val="00C17008"/>
    <w:rsid w:val="00C1727B"/>
    <w:rsid w:val="00C1775E"/>
    <w:rsid w:val="00C2006C"/>
    <w:rsid w:val="00C20B30"/>
    <w:rsid w:val="00C20D6C"/>
    <w:rsid w:val="00C21445"/>
    <w:rsid w:val="00C2172F"/>
    <w:rsid w:val="00C2327A"/>
    <w:rsid w:val="00C232A3"/>
    <w:rsid w:val="00C233E8"/>
    <w:rsid w:val="00C234D0"/>
    <w:rsid w:val="00C2352E"/>
    <w:rsid w:val="00C238D0"/>
    <w:rsid w:val="00C23E5E"/>
    <w:rsid w:val="00C24826"/>
    <w:rsid w:val="00C24DB7"/>
    <w:rsid w:val="00C25512"/>
    <w:rsid w:val="00C26A3D"/>
    <w:rsid w:val="00C26CEE"/>
    <w:rsid w:val="00C26E99"/>
    <w:rsid w:val="00C26F1A"/>
    <w:rsid w:val="00C27AC3"/>
    <w:rsid w:val="00C27C42"/>
    <w:rsid w:val="00C30328"/>
    <w:rsid w:val="00C305CC"/>
    <w:rsid w:val="00C30BB6"/>
    <w:rsid w:val="00C30F87"/>
    <w:rsid w:val="00C30FAB"/>
    <w:rsid w:val="00C31670"/>
    <w:rsid w:val="00C31B0A"/>
    <w:rsid w:val="00C32B15"/>
    <w:rsid w:val="00C332B4"/>
    <w:rsid w:val="00C34A1D"/>
    <w:rsid w:val="00C355A8"/>
    <w:rsid w:val="00C35927"/>
    <w:rsid w:val="00C3703C"/>
    <w:rsid w:val="00C37408"/>
    <w:rsid w:val="00C40968"/>
    <w:rsid w:val="00C410E7"/>
    <w:rsid w:val="00C42D9D"/>
    <w:rsid w:val="00C4352B"/>
    <w:rsid w:val="00C43602"/>
    <w:rsid w:val="00C43AF8"/>
    <w:rsid w:val="00C44056"/>
    <w:rsid w:val="00C44197"/>
    <w:rsid w:val="00C44345"/>
    <w:rsid w:val="00C45154"/>
    <w:rsid w:val="00C45C38"/>
    <w:rsid w:val="00C4605B"/>
    <w:rsid w:val="00C4639E"/>
    <w:rsid w:val="00C46B23"/>
    <w:rsid w:val="00C46FF7"/>
    <w:rsid w:val="00C4752A"/>
    <w:rsid w:val="00C47613"/>
    <w:rsid w:val="00C47DA2"/>
    <w:rsid w:val="00C47F52"/>
    <w:rsid w:val="00C501FC"/>
    <w:rsid w:val="00C50FAD"/>
    <w:rsid w:val="00C5193F"/>
    <w:rsid w:val="00C5211E"/>
    <w:rsid w:val="00C52176"/>
    <w:rsid w:val="00C52DBC"/>
    <w:rsid w:val="00C533D9"/>
    <w:rsid w:val="00C535FB"/>
    <w:rsid w:val="00C55C82"/>
    <w:rsid w:val="00C56A53"/>
    <w:rsid w:val="00C56B28"/>
    <w:rsid w:val="00C5716E"/>
    <w:rsid w:val="00C57427"/>
    <w:rsid w:val="00C6052B"/>
    <w:rsid w:val="00C60F8D"/>
    <w:rsid w:val="00C61278"/>
    <w:rsid w:val="00C629CD"/>
    <w:rsid w:val="00C62E91"/>
    <w:rsid w:val="00C62F04"/>
    <w:rsid w:val="00C63C81"/>
    <w:rsid w:val="00C64E8A"/>
    <w:rsid w:val="00C652F7"/>
    <w:rsid w:val="00C6570B"/>
    <w:rsid w:val="00C65C4C"/>
    <w:rsid w:val="00C65D88"/>
    <w:rsid w:val="00C65FCF"/>
    <w:rsid w:val="00C66AB4"/>
    <w:rsid w:val="00C710B9"/>
    <w:rsid w:val="00C7161C"/>
    <w:rsid w:val="00C71C6B"/>
    <w:rsid w:val="00C734AE"/>
    <w:rsid w:val="00C73739"/>
    <w:rsid w:val="00C758F1"/>
    <w:rsid w:val="00C75D06"/>
    <w:rsid w:val="00C76AAD"/>
    <w:rsid w:val="00C76BA7"/>
    <w:rsid w:val="00C77217"/>
    <w:rsid w:val="00C779D4"/>
    <w:rsid w:val="00C8030D"/>
    <w:rsid w:val="00C80FD1"/>
    <w:rsid w:val="00C813CC"/>
    <w:rsid w:val="00C8143A"/>
    <w:rsid w:val="00C81959"/>
    <w:rsid w:val="00C82081"/>
    <w:rsid w:val="00C8374D"/>
    <w:rsid w:val="00C837D6"/>
    <w:rsid w:val="00C8381B"/>
    <w:rsid w:val="00C853F8"/>
    <w:rsid w:val="00C86524"/>
    <w:rsid w:val="00C86AA3"/>
    <w:rsid w:val="00C905B3"/>
    <w:rsid w:val="00C91A86"/>
    <w:rsid w:val="00C92239"/>
    <w:rsid w:val="00C9252C"/>
    <w:rsid w:val="00C9303F"/>
    <w:rsid w:val="00C93BFB"/>
    <w:rsid w:val="00C93C12"/>
    <w:rsid w:val="00C93F30"/>
    <w:rsid w:val="00C94218"/>
    <w:rsid w:val="00C94510"/>
    <w:rsid w:val="00C95805"/>
    <w:rsid w:val="00C95A3A"/>
    <w:rsid w:val="00C95D75"/>
    <w:rsid w:val="00C9634B"/>
    <w:rsid w:val="00C965D3"/>
    <w:rsid w:val="00C96EBE"/>
    <w:rsid w:val="00C96F52"/>
    <w:rsid w:val="00C97833"/>
    <w:rsid w:val="00C979F7"/>
    <w:rsid w:val="00CA097D"/>
    <w:rsid w:val="00CA0C50"/>
    <w:rsid w:val="00CA1203"/>
    <w:rsid w:val="00CA27B1"/>
    <w:rsid w:val="00CA2FC2"/>
    <w:rsid w:val="00CA3ADD"/>
    <w:rsid w:val="00CA3C4D"/>
    <w:rsid w:val="00CA41DF"/>
    <w:rsid w:val="00CA5728"/>
    <w:rsid w:val="00CA69DC"/>
    <w:rsid w:val="00CA6A0D"/>
    <w:rsid w:val="00CA73CD"/>
    <w:rsid w:val="00CB0BD3"/>
    <w:rsid w:val="00CB112C"/>
    <w:rsid w:val="00CB11EA"/>
    <w:rsid w:val="00CB1CF1"/>
    <w:rsid w:val="00CB2842"/>
    <w:rsid w:val="00CB2D45"/>
    <w:rsid w:val="00CB328B"/>
    <w:rsid w:val="00CB3914"/>
    <w:rsid w:val="00CB3952"/>
    <w:rsid w:val="00CB3FFD"/>
    <w:rsid w:val="00CB4408"/>
    <w:rsid w:val="00CB4594"/>
    <w:rsid w:val="00CB4ABB"/>
    <w:rsid w:val="00CB4D5D"/>
    <w:rsid w:val="00CB54DD"/>
    <w:rsid w:val="00CB620A"/>
    <w:rsid w:val="00CC09A9"/>
    <w:rsid w:val="00CC3C4C"/>
    <w:rsid w:val="00CC3D39"/>
    <w:rsid w:val="00CC557A"/>
    <w:rsid w:val="00CC55C4"/>
    <w:rsid w:val="00CC5B81"/>
    <w:rsid w:val="00CC5CEF"/>
    <w:rsid w:val="00CC6279"/>
    <w:rsid w:val="00CC6E4D"/>
    <w:rsid w:val="00CC7B9E"/>
    <w:rsid w:val="00CD0644"/>
    <w:rsid w:val="00CD0685"/>
    <w:rsid w:val="00CD0F74"/>
    <w:rsid w:val="00CD12AA"/>
    <w:rsid w:val="00CD15AB"/>
    <w:rsid w:val="00CD187E"/>
    <w:rsid w:val="00CD1DAF"/>
    <w:rsid w:val="00CD2122"/>
    <w:rsid w:val="00CD21B9"/>
    <w:rsid w:val="00CD25BF"/>
    <w:rsid w:val="00CD339F"/>
    <w:rsid w:val="00CD36EA"/>
    <w:rsid w:val="00CD3A9A"/>
    <w:rsid w:val="00CD3FD8"/>
    <w:rsid w:val="00CD5549"/>
    <w:rsid w:val="00CD5640"/>
    <w:rsid w:val="00CD6BD4"/>
    <w:rsid w:val="00CD7707"/>
    <w:rsid w:val="00CD7764"/>
    <w:rsid w:val="00CD7894"/>
    <w:rsid w:val="00CD7CB0"/>
    <w:rsid w:val="00CE1E41"/>
    <w:rsid w:val="00CE1E67"/>
    <w:rsid w:val="00CE2C14"/>
    <w:rsid w:val="00CE3132"/>
    <w:rsid w:val="00CE34B2"/>
    <w:rsid w:val="00CE3654"/>
    <w:rsid w:val="00CE381C"/>
    <w:rsid w:val="00CE4398"/>
    <w:rsid w:val="00CE4A4F"/>
    <w:rsid w:val="00CE5DEB"/>
    <w:rsid w:val="00CE6414"/>
    <w:rsid w:val="00CE7604"/>
    <w:rsid w:val="00CF0698"/>
    <w:rsid w:val="00CF07D2"/>
    <w:rsid w:val="00CF1882"/>
    <w:rsid w:val="00CF1B0D"/>
    <w:rsid w:val="00CF1C47"/>
    <w:rsid w:val="00CF1C78"/>
    <w:rsid w:val="00CF2693"/>
    <w:rsid w:val="00CF38A0"/>
    <w:rsid w:val="00CF50D5"/>
    <w:rsid w:val="00CF5890"/>
    <w:rsid w:val="00CF6CF4"/>
    <w:rsid w:val="00CF6E8B"/>
    <w:rsid w:val="00CF7162"/>
    <w:rsid w:val="00CF7371"/>
    <w:rsid w:val="00CF780D"/>
    <w:rsid w:val="00CF7929"/>
    <w:rsid w:val="00CF7CE4"/>
    <w:rsid w:val="00D0046C"/>
    <w:rsid w:val="00D007E3"/>
    <w:rsid w:val="00D00F96"/>
    <w:rsid w:val="00D01C51"/>
    <w:rsid w:val="00D03F0E"/>
    <w:rsid w:val="00D0428B"/>
    <w:rsid w:val="00D04443"/>
    <w:rsid w:val="00D04B4D"/>
    <w:rsid w:val="00D05297"/>
    <w:rsid w:val="00D065AD"/>
    <w:rsid w:val="00D077D7"/>
    <w:rsid w:val="00D10B62"/>
    <w:rsid w:val="00D10DE4"/>
    <w:rsid w:val="00D11A0D"/>
    <w:rsid w:val="00D11B49"/>
    <w:rsid w:val="00D126A1"/>
    <w:rsid w:val="00D12C8F"/>
    <w:rsid w:val="00D12E41"/>
    <w:rsid w:val="00D132AC"/>
    <w:rsid w:val="00D134C5"/>
    <w:rsid w:val="00D13EA0"/>
    <w:rsid w:val="00D147D1"/>
    <w:rsid w:val="00D15BE0"/>
    <w:rsid w:val="00D15BED"/>
    <w:rsid w:val="00D160F5"/>
    <w:rsid w:val="00D1677F"/>
    <w:rsid w:val="00D16942"/>
    <w:rsid w:val="00D16DC2"/>
    <w:rsid w:val="00D17252"/>
    <w:rsid w:val="00D17857"/>
    <w:rsid w:val="00D17CF3"/>
    <w:rsid w:val="00D17E74"/>
    <w:rsid w:val="00D213ED"/>
    <w:rsid w:val="00D214B1"/>
    <w:rsid w:val="00D223DA"/>
    <w:rsid w:val="00D22C8B"/>
    <w:rsid w:val="00D2365C"/>
    <w:rsid w:val="00D2405A"/>
    <w:rsid w:val="00D24867"/>
    <w:rsid w:val="00D2495B"/>
    <w:rsid w:val="00D250B3"/>
    <w:rsid w:val="00D25152"/>
    <w:rsid w:val="00D253EF"/>
    <w:rsid w:val="00D25645"/>
    <w:rsid w:val="00D25B26"/>
    <w:rsid w:val="00D267EB"/>
    <w:rsid w:val="00D26B10"/>
    <w:rsid w:val="00D26F2E"/>
    <w:rsid w:val="00D27B2F"/>
    <w:rsid w:val="00D30353"/>
    <w:rsid w:val="00D30DFA"/>
    <w:rsid w:val="00D32FAD"/>
    <w:rsid w:val="00D33A9C"/>
    <w:rsid w:val="00D33D0D"/>
    <w:rsid w:val="00D343FB"/>
    <w:rsid w:val="00D34515"/>
    <w:rsid w:val="00D354DA"/>
    <w:rsid w:val="00D36864"/>
    <w:rsid w:val="00D36AF6"/>
    <w:rsid w:val="00D36F03"/>
    <w:rsid w:val="00D37008"/>
    <w:rsid w:val="00D402A1"/>
    <w:rsid w:val="00D404D8"/>
    <w:rsid w:val="00D40FF4"/>
    <w:rsid w:val="00D41295"/>
    <w:rsid w:val="00D41ECA"/>
    <w:rsid w:val="00D434ED"/>
    <w:rsid w:val="00D437E0"/>
    <w:rsid w:val="00D43FEE"/>
    <w:rsid w:val="00D4410D"/>
    <w:rsid w:val="00D44712"/>
    <w:rsid w:val="00D44803"/>
    <w:rsid w:val="00D4530B"/>
    <w:rsid w:val="00D4684A"/>
    <w:rsid w:val="00D46D72"/>
    <w:rsid w:val="00D47BBA"/>
    <w:rsid w:val="00D50D9C"/>
    <w:rsid w:val="00D51BA9"/>
    <w:rsid w:val="00D52644"/>
    <w:rsid w:val="00D537C6"/>
    <w:rsid w:val="00D539DF"/>
    <w:rsid w:val="00D567A1"/>
    <w:rsid w:val="00D56B1F"/>
    <w:rsid w:val="00D574D1"/>
    <w:rsid w:val="00D57581"/>
    <w:rsid w:val="00D57980"/>
    <w:rsid w:val="00D605C7"/>
    <w:rsid w:val="00D609DF"/>
    <w:rsid w:val="00D60A31"/>
    <w:rsid w:val="00D6193A"/>
    <w:rsid w:val="00D62909"/>
    <w:rsid w:val="00D62A67"/>
    <w:rsid w:val="00D62B89"/>
    <w:rsid w:val="00D63A62"/>
    <w:rsid w:val="00D63AF7"/>
    <w:rsid w:val="00D6451B"/>
    <w:rsid w:val="00D65586"/>
    <w:rsid w:val="00D66BDC"/>
    <w:rsid w:val="00D66D5E"/>
    <w:rsid w:val="00D67145"/>
    <w:rsid w:val="00D676F6"/>
    <w:rsid w:val="00D67E5D"/>
    <w:rsid w:val="00D7070D"/>
    <w:rsid w:val="00D70B8A"/>
    <w:rsid w:val="00D714B0"/>
    <w:rsid w:val="00D71793"/>
    <w:rsid w:val="00D71A58"/>
    <w:rsid w:val="00D73405"/>
    <w:rsid w:val="00D74991"/>
    <w:rsid w:val="00D74AF7"/>
    <w:rsid w:val="00D761B0"/>
    <w:rsid w:val="00D76776"/>
    <w:rsid w:val="00D769C4"/>
    <w:rsid w:val="00D76B3D"/>
    <w:rsid w:val="00D76CE0"/>
    <w:rsid w:val="00D77CA9"/>
    <w:rsid w:val="00D80323"/>
    <w:rsid w:val="00D813B5"/>
    <w:rsid w:val="00D81828"/>
    <w:rsid w:val="00D81E52"/>
    <w:rsid w:val="00D8458D"/>
    <w:rsid w:val="00D84EB2"/>
    <w:rsid w:val="00D85F66"/>
    <w:rsid w:val="00D86441"/>
    <w:rsid w:val="00D86A42"/>
    <w:rsid w:val="00D86C12"/>
    <w:rsid w:val="00D8707E"/>
    <w:rsid w:val="00D87409"/>
    <w:rsid w:val="00D874EB"/>
    <w:rsid w:val="00D8758C"/>
    <w:rsid w:val="00D87B5E"/>
    <w:rsid w:val="00D90CA0"/>
    <w:rsid w:val="00D915BF"/>
    <w:rsid w:val="00D91AAF"/>
    <w:rsid w:val="00D9290F"/>
    <w:rsid w:val="00D92F95"/>
    <w:rsid w:val="00D948A7"/>
    <w:rsid w:val="00D94D18"/>
    <w:rsid w:val="00D951B2"/>
    <w:rsid w:val="00D95590"/>
    <w:rsid w:val="00D95AA7"/>
    <w:rsid w:val="00D96AE3"/>
    <w:rsid w:val="00D976AC"/>
    <w:rsid w:val="00D978A2"/>
    <w:rsid w:val="00D9797E"/>
    <w:rsid w:val="00D97B7B"/>
    <w:rsid w:val="00DA0FD0"/>
    <w:rsid w:val="00DA1FA9"/>
    <w:rsid w:val="00DA2F95"/>
    <w:rsid w:val="00DA34B8"/>
    <w:rsid w:val="00DA4490"/>
    <w:rsid w:val="00DA5CF9"/>
    <w:rsid w:val="00DA674E"/>
    <w:rsid w:val="00DB0411"/>
    <w:rsid w:val="00DB06F7"/>
    <w:rsid w:val="00DB1162"/>
    <w:rsid w:val="00DB1440"/>
    <w:rsid w:val="00DB286B"/>
    <w:rsid w:val="00DB3255"/>
    <w:rsid w:val="00DB4C14"/>
    <w:rsid w:val="00DB7187"/>
    <w:rsid w:val="00DB7348"/>
    <w:rsid w:val="00DB7EB1"/>
    <w:rsid w:val="00DC169E"/>
    <w:rsid w:val="00DC1B49"/>
    <w:rsid w:val="00DC1F07"/>
    <w:rsid w:val="00DC2843"/>
    <w:rsid w:val="00DC3495"/>
    <w:rsid w:val="00DC35C4"/>
    <w:rsid w:val="00DC3967"/>
    <w:rsid w:val="00DC4B9D"/>
    <w:rsid w:val="00DC5023"/>
    <w:rsid w:val="00DC5073"/>
    <w:rsid w:val="00DC5B1D"/>
    <w:rsid w:val="00DC6E30"/>
    <w:rsid w:val="00DC76DE"/>
    <w:rsid w:val="00DC77B7"/>
    <w:rsid w:val="00DD0895"/>
    <w:rsid w:val="00DD365F"/>
    <w:rsid w:val="00DD419F"/>
    <w:rsid w:val="00DD4CE1"/>
    <w:rsid w:val="00DD528B"/>
    <w:rsid w:val="00DD5950"/>
    <w:rsid w:val="00DD5C65"/>
    <w:rsid w:val="00DD63DD"/>
    <w:rsid w:val="00DD67D6"/>
    <w:rsid w:val="00DD6EFD"/>
    <w:rsid w:val="00DD76AB"/>
    <w:rsid w:val="00DD7A6E"/>
    <w:rsid w:val="00DE3924"/>
    <w:rsid w:val="00DE4500"/>
    <w:rsid w:val="00DE4564"/>
    <w:rsid w:val="00DE4834"/>
    <w:rsid w:val="00DE5510"/>
    <w:rsid w:val="00DE5945"/>
    <w:rsid w:val="00DE6231"/>
    <w:rsid w:val="00DE6892"/>
    <w:rsid w:val="00DF0E33"/>
    <w:rsid w:val="00DF0F5B"/>
    <w:rsid w:val="00DF3AAB"/>
    <w:rsid w:val="00DF412C"/>
    <w:rsid w:val="00DF486F"/>
    <w:rsid w:val="00DF5419"/>
    <w:rsid w:val="00DF5C8C"/>
    <w:rsid w:val="00DF607C"/>
    <w:rsid w:val="00DF72C6"/>
    <w:rsid w:val="00DF76DC"/>
    <w:rsid w:val="00E0074C"/>
    <w:rsid w:val="00E00FA7"/>
    <w:rsid w:val="00E0268D"/>
    <w:rsid w:val="00E028FC"/>
    <w:rsid w:val="00E03601"/>
    <w:rsid w:val="00E037A6"/>
    <w:rsid w:val="00E04334"/>
    <w:rsid w:val="00E04440"/>
    <w:rsid w:val="00E04612"/>
    <w:rsid w:val="00E057FB"/>
    <w:rsid w:val="00E05E9B"/>
    <w:rsid w:val="00E066BB"/>
    <w:rsid w:val="00E06834"/>
    <w:rsid w:val="00E0709C"/>
    <w:rsid w:val="00E07C65"/>
    <w:rsid w:val="00E1064F"/>
    <w:rsid w:val="00E1089F"/>
    <w:rsid w:val="00E115A0"/>
    <w:rsid w:val="00E11DB2"/>
    <w:rsid w:val="00E1219A"/>
    <w:rsid w:val="00E12846"/>
    <w:rsid w:val="00E12A4E"/>
    <w:rsid w:val="00E12CA6"/>
    <w:rsid w:val="00E14C20"/>
    <w:rsid w:val="00E155D1"/>
    <w:rsid w:val="00E1618A"/>
    <w:rsid w:val="00E164BF"/>
    <w:rsid w:val="00E16C93"/>
    <w:rsid w:val="00E20118"/>
    <w:rsid w:val="00E202CB"/>
    <w:rsid w:val="00E206BA"/>
    <w:rsid w:val="00E20B61"/>
    <w:rsid w:val="00E20CE8"/>
    <w:rsid w:val="00E21B12"/>
    <w:rsid w:val="00E21DEA"/>
    <w:rsid w:val="00E2248B"/>
    <w:rsid w:val="00E2290E"/>
    <w:rsid w:val="00E22E6D"/>
    <w:rsid w:val="00E232B1"/>
    <w:rsid w:val="00E24414"/>
    <w:rsid w:val="00E24B59"/>
    <w:rsid w:val="00E2554D"/>
    <w:rsid w:val="00E25AC2"/>
    <w:rsid w:val="00E26712"/>
    <w:rsid w:val="00E2679F"/>
    <w:rsid w:val="00E2749F"/>
    <w:rsid w:val="00E279A3"/>
    <w:rsid w:val="00E27D7A"/>
    <w:rsid w:val="00E30EDE"/>
    <w:rsid w:val="00E30F9A"/>
    <w:rsid w:val="00E311CE"/>
    <w:rsid w:val="00E314CD"/>
    <w:rsid w:val="00E328F7"/>
    <w:rsid w:val="00E32D56"/>
    <w:rsid w:val="00E335DB"/>
    <w:rsid w:val="00E335FB"/>
    <w:rsid w:val="00E35C2C"/>
    <w:rsid w:val="00E361FB"/>
    <w:rsid w:val="00E36A27"/>
    <w:rsid w:val="00E37953"/>
    <w:rsid w:val="00E40EF1"/>
    <w:rsid w:val="00E414B6"/>
    <w:rsid w:val="00E415AD"/>
    <w:rsid w:val="00E4210B"/>
    <w:rsid w:val="00E42357"/>
    <w:rsid w:val="00E42AD4"/>
    <w:rsid w:val="00E42C8F"/>
    <w:rsid w:val="00E42D77"/>
    <w:rsid w:val="00E43058"/>
    <w:rsid w:val="00E4309E"/>
    <w:rsid w:val="00E43278"/>
    <w:rsid w:val="00E433F1"/>
    <w:rsid w:val="00E434E1"/>
    <w:rsid w:val="00E43FDE"/>
    <w:rsid w:val="00E44DB2"/>
    <w:rsid w:val="00E459D6"/>
    <w:rsid w:val="00E45C65"/>
    <w:rsid w:val="00E46CBB"/>
    <w:rsid w:val="00E47489"/>
    <w:rsid w:val="00E474E8"/>
    <w:rsid w:val="00E47874"/>
    <w:rsid w:val="00E47FEC"/>
    <w:rsid w:val="00E50DD4"/>
    <w:rsid w:val="00E511B1"/>
    <w:rsid w:val="00E51298"/>
    <w:rsid w:val="00E51E96"/>
    <w:rsid w:val="00E529CB"/>
    <w:rsid w:val="00E52B3D"/>
    <w:rsid w:val="00E53718"/>
    <w:rsid w:val="00E54570"/>
    <w:rsid w:val="00E55D5B"/>
    <w:rsid w:val="00E56381"/>
    <w:rsid w:val="00E57C2F"/>
    <w:rsid w:val="00E608A1"/>
    <w:rsid w:val="00E60D32"/>
    <w:rsid w:val="00E611C3"/>
    <w:rsid w:val="00E61791"/>
    <w:rsid w:val="00E61A5D"/>
    <w:rsid w:val="00E626B9"/>
    <w:rsid w:val="00E63AE9"/>
    <w:rsid w:val="00E6431E"/>
    <w:rsid w:val="00E64F54"/>
    <w:rsid w:val="00E66A4D"/>
    <w:rsid w:val="00E7096D"/>
    <w:rsid w:val="00E71C81"/>
    <w:rsid w:val="00E72173"/>
    <w:rsid w:val="00E725BD"/>
    <w:rsid w:val="00E72B08"/>
    <w:rsid w:val="00E73014"/>
    <w:rsid w:val="00E73417"/>
    <w:rsid w:val="00E740DB"/>
    <w:rsid w:val="00E75A81"/>
    <w:rsid w:val="00E7669D"/>
    <w:rsid w:val="00E76BF6"/>
    <w:rsid w:val="00E771E2"/>
    <w:rsid w:val="00E77662"/>
    <w:rsid w:val="00E779AF"/>
    <w:rsid w:val="00E80349"/>
    <w:rsid w:val="00E80BA0"/>
    <w:rsid w:val="00E80C61"/>
    <w:rsid w:val="00E80F87"/>
    <w:rsid w:val="00E8167A"/>
    <w:rsid w:val="00E81DF6"/>
    <w:rsid w:val="00E825DE"/>
    <w:rsid w:val="00E8261D"/>
    <w:rsid w:val="00E82705"/>
    <w:rsid w:val="00E841E4"/>
    <w:rsid w:val="00E8544F"/>
    <w:rsid w:val="00E86427"/>
    <w:rsid w:val="00E867D4"/>
    <w:rsid w:val="00E874BF"/>
    <w:rsid w:val="00E877CC"/>
    <w:rsid w:val="00E878E1"/>
    <w:rsid w:val="00E9006E"/>
    <w:rsid w:val="00E906C6"/>
    <w:rsid w:val="00E922FC"/>
    <w:rsid w:val="00E9230A"/>
    <w:rsid w:val="00E92827"/>
    <w:rsid w:val="00E92E47"/>
    <w:rsid w:val="00E93D20"/>
    <w:rsid w:val="00E93F13"/>
    <w:rsid w:val="00E955BF"/>
    <w:rsid w:val="00E962CE"/>
    <w:rsid w:val="00E96CEE"/>
    <w:rsid w:val="00E9727D"/>
    <w:rsid w:val="00E978EF"/>
    <w:rsid w:val="00EA07E0"/>
    <w:rsid w:val="00EA32E9"/>
    <w:rsid w:val="00EA3AD0"/>
    <w:rsid w:val="00EA4121"/>
    <w:rsid w:val="00EA439B"/>
    <w:rsid w:val="00EA5F7D"/>
    <w:rsid w:val="00EA69A0"/>
    <w:rsid w:val="00EA7425"/>
    <w:rsid w:val="00EB0A91"/>
    <w:rsid w:val="00EB1097"/>
    <w:rsid w:val="00EB2331"/>
    <w:rsid w:val="00EB3129"/>
    <w:rsid w:val="00EB32AE"/>
    <w:rsid w:val="00EB3C9A"/>
    <w:rsid w:val="00EB41A0"/>
    <w:rsid w:val="00EB5517"/>
    <w:rsid w:val="00EB742B"/>
    <w:rsid w:val="00EB7833"/>
    <w:rsid w:val="00EC0C7A"/>
    <w:rsid w:val="00EC1BF3"/>
    <w:rsid w:val="00EC1EB7"/>
    <w:rsid w:val="00EC1EEC"/>
    <w:rsid w:val="00EC254B"/>
    <w:rsid w:val="00EC257A"/>
    <w:rsid w:val="00EC4580"/>
    <w:rsid w:val="00EC4926"/>
    <w:rsid w:val="00EC4E8A"/>
    <w:rsid w:val="00EC5581"/>
    <w:rsid w:val="00EC5B84"/>
    <w:rsid w:val="00EC644E"/>
    <w:rsid w:val="00EC6844"/>
    <w:rsid w:val="00EC6E8A"/>
    <w:rsid w:val="00EC7595"/>
    <w:rsid w:val="00EC7914"/>
    <w:rsid w:val="00ED00B4"/>
    <w:rsid w:val="00ED138A"/>
    <w:rsid w:val="00ED2243"/>
    <w:rsid w:val="00ED2617"/>
    <w:rsid w:val="00ED4744"/>
    <w:rsid w:val="00ED50CE"/>
    <w:rsid w:val="00ED5566"/>
    <w:rsid w:val="00ED61AA"/>
    <w:rsid w:val="00ED6BAD"/>
    <w:rsid w:val="00ED77EE"/>
    <w:rsid w:val="00EE14A2"/>
    <w:rsid w:val="00EE3947"/>
    <w:rsid w:val="00EE3A84"/>
    <w:rsid w:val="00EE47B6"/>
    <w:rsid w:val="00EE49DB"/>
    <w:rsid w:val="00EE4A71"/>
    <w:rsid w:val="00EE5339"/>
    <w:rsid w:val="00EE727B"/>
    <w:rsid w:val="00EE74C5"/>
    <w:rsid w:val="00EF0235"/>
    <w:rsid w:val="00EF1072"/>
    <w:rsid w:val="00EF19B7"/>
    <w:rsid w:val="00EF1F38"/>
    <w:rsid w:val="00EF2621"/>
    <w:rsid w:val="00EF2F0B"/>
    <w:rsid w:val="00EF44F8"/>
    <w:rsid w:val="00EF4993"/>
    <w:rsid w:val="00EF4ABD"/>
    <w:rsid w:val="00EF5197"/>
    <w:rsid w:val="00EF5B74"/>
    <w:rsid w:val="00EF5BA3"/>
    <w:rsid w:val="00EF5E01"/>
    <w:rsid w:val="00EF6188"/>
    <w:rsid w:val="00EF67A2"/>
    <w:rsid w:val="00EF6A52"/>
    <w:rsid w:val="00EF72C6"/>
    <w:rsid w:val="00EF7D85"/>
    <w:rsid w:val="00F0045B"/>
    <w:rsid w:val="00F00A91"/>
    <w:rsid w:val="00F00CA4"/>
    <w:rsid w:val="00F01AA6"/>
    <w:rsid w:val="00F02459"/>
    <w:rsid w:val="00F03560"/>
    <w:rsid w:val="00F04AC2"/>
    <w:rsid w:val="00F04B92"/>
    <w:rsid w:val="00F056D8"/>
    <w:rsid w:val="00F073B4"/>
    <w:rsid w:val="00F07689"/>
    <w:rsid w:val="00F07DEF"/>
    <w:rsid w:val="00F07EC4"/>
    <w:rsid w:val="00F10673"/>
    <w:rsid w:val="00F10B99"/>
    <w:rsid w:val="00F10FE8"/>
    <w:rsid w:val="00F1275F"/>
    <w:rsid w:val="00F12935"/>
    <w:rsid w:val="00F131FC"/>
    <w:rsid w:val="00F13937"/>
    <w:rsid w:val="00F13B8A"/>
    <w:rsid w:val="00F14481"/>
    <w:rsid w:val="00F15FFB"/>
    <w:rsid w:val="00F16324"/>
    <w:rsid w:val="00F16573"/>
    <w:rsid w:val="00F20CB8"/>
    <w:rsid w:val="00F2113B"/>
    <w:rsid w:val="00F21359"/>
    <w:rsid w:val="00F21B2B"/>
    <w:rsid w:val="00F21B5D"/>
    <w:rsid w:val="00F21FD8"/>
    <w:rsid w:val="00F223EA"/>
    <w:rsid w:val="00F23535"/>
    <w:rsid w:val="00F23FEB"/>
    <w:rsid w:val="00F2588E"/>
    <w:rsid w:val="00F266E0"/>
    <w:rsid w:val="00F26893"/>
    <w:rsid w:val="00F271D2"/>
    <w:rsid w:val="00F312A2"/>
    <w:rsid w:val="00F31E20"/>
    <w:rsid w:val="00F322BC"/>
    <w:rsid w:val="00F3260C"/>
    <w:rsid w:val="00F32A22"/>
    <w:rsid w:val="00F3326E"/>
    <w:rsid w:val="00F33A81"/>
    <w:rsid w:val="00F354BD"/>
    <w:rsid w:val="00F35AED"/>
    <w:rsid w:val="00F362C5"/>
    <w:rsid w:val="00F364CD"/>
    <w:rsid w:val="00F36D8C"/>
    <w:rsid w:val="00F36DED"/>
    <w:rsid w:val="00F37977"/>
    <w:rsid w:val="00F37C6F"/>
    <w:rsid w:val="00F40922"/>
    <w:rsid w:val="00F40A58"/>
    <w:rsid w:val="00F4127C"/>
    <w:rsid w:val="00F41916"/>
    <w:rsid w:val="00F4233C"/>
    <w:rsid w:val="00F42508"/>
    <w:rsid w:val="00F426E7"/>
    <w:rsid w:val="00F43415"/>
    <w:rsid w:val="00F43891"/>
    <w:rsid w:val="00F441FD"/>
    <w:rsid w:val="00F449DC"/>
    <w:rsid w:val="00F4583E"/>
    <w:rsid w:val="00F45894"/>
    <w:rsid w:val="00F467A5"/>
    <w:rsid w:val="00F476E7"/>
    <w:rsid w:val="00F47C18"/>
    <w:rsid w:val="00F520B2"/>
    <w:rsid w:val="00F529EB"/>
    <w:rsid w:val="00F52A01"/>
    <w:rsid w:val="00F52A14"/>
    <w:rsid w:val="00F53960"/>
    <w:rsid w:val="00F54118"/>
    <w:rsid w:val="00F555ED"/>
    <w:rsid w:val="00F55633"/>
    <w:rsid w:val="00F55B3C"/>
    <w:rsid w:val="00F55E61"/>
    <w:rsid w:val="00F56315"/>
    <w:rsid w:val="00F5674E"/>
    <w:rsid w:val="00F6037F"/>
    <w:rsid w:val="00F61187"/>
    <w:rsid w:val="00F622B1"/>
    <w:rsid w:val="00F63358"/>
    <w:rsid w:val="00F6411D"/>
    <w:rsid w:val="00F64AAD"/>
    <w:rsid w:val="00F655E1"/>
    <w:rsid w:val="00F65984"/>
    <w:rsid w:val="00F65986"/>
    <w:rsid w:val="00F65FE2"/>
    <w:rsid w:val="00F67D81"/>
    <w:rsid w:val="00F70548"/>
    <w:rsid w:val="00F70984"/>
    <w:rsid w:val="00F71A81"/>
    <w:rsid w:val="00F72479"/>
    <w:rsid w:val="00F7247A"/>
    <w:rsid w:val="00F72B9C"/>
    <w:rsid w:val="00F72EA0"/>
    <w:rsid w:val="00F72EC9"/>
    <w:rsid w:val="00F73135"/>
    <w:rsid w:val="00F7324C"/>
    <w:rsid w:val="00F73337"/>
    <w:rsid w:val="00F734EA"/>
    <w:rsid w:val="00F73FC8"/>
    <w:rsid w:val="00F74D7A"/>
    <w:rsid w:val="00F76BC8"/>
    <w:rsid w:val="00F76C99"/>
    <w:rsid w:val="00F77685"/>
    <w:rsid w:val="00F80932"/>
    <w:rsid w:val="00F81C5A"/>
    <w:rsid w:val="00F825F5"/>
    <w:rsid w:val="00F82EBF"/>
    <w:rsid w:val="00F82FD1"/>
    <w:rsid w:val="00F83DA5"/>
    <w:rsid w:val="00F85047"/>
    <w:rsid w:val="00F853B7"/>
    <w:rsid w:val="00F86442"/>
    <w:rsid w:val="00F876A4"/>
    <w:rsid w:val="00F90A14"/>
    <w:rsid w:val="00F929E1"/>
    <w:rsid w:val="00F92F1D"/>
    <w:rsid w:val="00F93F7B"/>
    <w:rsid w:val="00F9469A"/>
    <w:rsid w:val="00F94D43"/>
    <w:rsid w:val="00F95166"/>
    <w:rsid w:val="00F95279"/>
    <w:rsid w:val="00F95F5C"/>
    <w:rsid w:val="00F9623A"/>
    <w:rsid w:val="00F9649E"/>
    <w:rsid w:val="00FA0205"/>
    <w:rsid w:val="00FA0BB2"/>
    <w:rsid w:val="00FA1A1F"/>
    <w:rsid w:val="00FA29D9"/>
    <w:rsid w:val="00FA2E90"/>
    <w:rsid w:val="00FA3809"/>
    <w:rsid w:val="00FA4485"/>
    <w:rsid w:val="00FA552A"/>
    <w:rsid w:val="00FA5DA9"/>
    <w:rsid w:val="00FA6ECC"/>
    <w:rsid w:val="00FA70BF"/>
    <w:rsid w:val="00FA714A"/>
    <w:rsid w:val="00FA7989"/>
    <w:rsid w:val="00FA7D99"/>
    <w:rsid w:val="00FB17A0"/>
    <w:rsid w:val="00FB2277"/>
    <w:rsid w:val="00FB2AB5"/>
    <w:rsid w:val="00FB2CA0"/>
    <w:rsid w:val="00FB34B0"/>
    <w:rsid w:val="00FB4DC9"/>
    <w:rsid w:val="00FB51DE"/>
    <w:rsid w:val="00FB5409"/>
    <w:rsid w:val="00FB5410"/>
    <w:rsid w:val="00FB75B8"/>
    <w:rsid w:val="00FB7727"/>
    <w:rsid w:val="00FB7A59"/>
    <w:rsid w:val="00FC1B14"/>
    <w:rsid w:val="00FC24B2"/>
    <w:rsid w:val="00FC2B7A"/>
    <w:rsid w:val="00FC40E6"/>
    <w:rsid w:val="00FC433D"/>
    <w:rsid w:val="00FC46DA"/>
    <w:rsid w:val="00FC4DDA"/>
    <w:rsid w:val="00FC5411"/>
    <w:rsid w:val="00FC718C"/>
    <w:rsid w:val="00FC747F"/>
    <w:rsid w:val="00FC7525"/>
    <w:rsid w:val="00FC7957"/>
    <w:rsid w:val="00FD00FA"/>
    <w:rsid w:val="00FD059F"/>
    <w:rsid w:val="00FD0E34"/>
    <w:rsid w:val="00FD110D"/>
    <w:rsid w:val="00FD11C2"/>
    <w:rsid w:val="00FD1B1E"/>
    <w:rsid w:val="00FD29E8"/>
    <w:rsid w:val="00FD2D77"/>
    <w:rsid w:val="00FD2FBF"/>
    <w:rsid w:val="00FD39D4"/>
    <w:rsid w:val="00FD3BEA"/>
    <w:rsid w:val="00FD438A"/>
    <w:rsid w:val="00FD4A98"/>
    <w:rsid w:val="00FD4CBC"/>
    <w:rsid w:val="00FD4ED6"/>
    <w:rsid w:val="00FD52FD"/>
    <w:rsid w:val="00FD5AF3"/>
    <w:rsid w:val="00FD60CE"/>
    <w:rsid w:val="00FD663C"/>
    <w:rsid w:val="00FD6D3F"/>
    <w:rsid w:val="00FD72F4"/>
    <w:rsid w:val="00FE0A46"/>
    <w:rsid w:val="00FE15AC"/>
    <w:rsid w:val="00FE18BE"/>
    <w:rsid w:val="00FE1C40"/>
    <w:rsid w:val="00FE23C2"/>
    <w:rsid w:val="00FE23C5"/>
    <w:rsid w:val="00FE2B80"/>
    <w:rsid w:val="00FE3098"/>
    <w:rsid w:val="00FE32F5"/>
    <w:rsid w:val="00FE3CC9"/>
    <w:rsid w:val="00FE3D28"/>
    <w:rsid w:val="00FE503B"/>
    <w:rsid w:val="00FE5790"/>
    <w:rsid w:val="00FE58DA"/>
    <w:rsid w:val="00FE5ECD"/>
    <w:rsid w:val="00FE5EDD"/>
    <w:rsid w:val="00FE62FC"/>
    <w:rsid w:val="00FE65C2"/>
    <w:rsid w:val="00FF0182"/>
    <w:rsid w:val="00FF0FE5"/>
    <w:rsid w:val="00FF1C23"/>
    <w:rsid w:val="00FF1FA1"/>
    <w:rsid w:val="00FF2D35"/>
    <w:rsid w:val="00FF37A7"/>
    <w:rsid w:val="00FF3DF9"/>
    <w:rsid w:val="00FF3EF5"/>
    <w:rsid w:val="00FF5066"/>
    <w:rsid w:val="00FF529B"/>
    <w:rsid w:val="00FF6AAC"/>
    <w:rsid w:val="00FF6FEA"/>
    <w:rsid w:val="00FF79FB"/>
    <w:rsid w:val="00FF7F2B"/>
  </w:rsids>
  <m:mathPr>
    <m:mathFont m:val="Cambria Math"/>
    <m:brkBin m:val="before"/>
    <m:brkBinSub m:val="--"/>
    <m:smallFrac m:val="off"/>
    <m:dispDef/>
    <m:lMargin m:val="0"/>
    <m:rMargin m:val="0"/>
    <m:defJc m:val="centerGroup"/>
    <m:wrapIndent m:val="1440"/>
    <m:intLim m:val="subSup"/>
    <m:naryLim m:val="undOvr"/>
  </m:mathPr>
  <w:attachedSchema w:val="urn:schemas:contacts"/>
  <w:attachedSchema w:val="urn:schemas-microsoft-com:office:smarttags"/>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nhideWhenUsed="0"/>
    <w:lsdException w:name="endnote text"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A82F9B"/>
    <w:pPr>
      <w:spacing w:after="200" w:line="276" w:lineRule="auto"/>
    </w:pPr>
    <w:rPr>
      <w:sz w:val="22"/>
      <w:szCs w:val="22"/>
    </w:rPr>
  </w:style>
  <w:style w:type="paragraph" w:styleId="Heading1">
    <w:name w:val="heading 1"/>
    <w:basedOn w:val="Normal"/>
    <w:next w:val="Normal"/>
    <w:link w:val="Heading1Char"/>
    <w:uiPriority w:val="99"/>
    <w:qFormat/>
    <w:rsid w:val="00BC7C9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BC7C9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BC7C9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7C9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BC7C95"/>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BC7C95"/>
    <w:rPr>
      <w:rFonts w:ascii="Cambria" w:hAnsi="Cambria" w:cs="Times New Roman"/>
      <w:b/>
      <w:bCs/>
      <w:sz w:val="26"/>
      <w:szCs w:val="26"/>
    </w:rPr>
  </w:style>
  <w:style w:type="paragraph" w:styleId="EndnoteText">
    <w:name w:val="endnote text"/>
    <w:basedOn w:val="Normal"/>
    <w:link w:val="EndnoteTextChar"/>
    <w:uiPriority w:val="99"/>
    <w:semiHidden/>
    <w:rsid w:val="00CB1CF1"/>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semiHidden/>
    <w:locked/>
    <w:rsid w:val="00CB1CF1"/>
    <w:rPr>
      <w:rFonts w:ascii="Times New Roman" w:hAnsi="Times New Roman" w:cs="Times New Roman"/>
    </w:rPr>
  </w:style>
  <w:style w:type="character" w:styleId="EndnoteReference">
    <w:name w:val="endnote reference"/>
    <w:basedOn w:val="DefaultParagraphFont"/>
    <w:uiPriority w:val="99"/>
    <w:semiHidden/>
    <w:rsid w:val="00CB1CF1"/>
    <w:rPr>
      <w:rFonts w:cs="Times New Roman"/>
      <w:vertAlign w:val="superscript"/>
    </w:rPr>
  </w:style>
  <w:style w:type="character" w:styleId="Hyperlink">
    <w:name w:val="Hyperlink"/>
    <w:basedOn w:val="DefaultParagraphFont"/>
    <w:uiPriority w:val="99"/>
    <w:rsid w:val="00546422"/>
    <w:rPr>
      <w:rFonts w:cs="Times New Roman"/>
      <w:color w:val="0000FF"/>
      <w:u w:val="single"/>
    </w:rPr>
  </w:style>
  <w:style w:type="paragraph" w:styleId="Header">
    <w:name w:val="header"/>
    <w:basedOn w:val="Normal"/>
    <w:link w:val="HeaderChar"/>
    <w:uiPriority w:val="99"/>
    <w:rsid w:val="0055696E"/>
    <w:pPr>
      <w:tabs>
        <w:tab w:val="center" w:pos="4680"/>
        <w:tab w:val="right" w:pos="9360"/>
      </w:tabs>
    </w:pPr>
  </w:style>
  <w:style w:type="character" w:customStyle="1" w:styleId="HeaderChar">
    <w:name w:val="Header Char"/>
    <w:basedOn w:val="DefaultParagraphFont"/>
    <w:link w:val="Header"/>
    <w:uiPriority w:val="99"/>
    <w:locked/>
    <w:rsid w:val="0055696E"/>
    <w:rPr>
      <w:rFonts w:cs="Times New Roman"/>
      <w:sz w:val="22"/>
      <w:szCs w:val="22"/>
    </w:rPr>
  </w:style>
  <w:style w:type="paragraph" w:styleId="Footer">
    <w:name w:val="footer"/>
    <w:basedOn w:val="Normal"/>
    <w:link w:val="FooterChar"/>
    <w:uiPriority w:val="99"/>
    <w:rsid w:val="0055696E"/>
    <w:pPr>
      <w:tabs>
        <w:tab w:val="center" w:pos="4680"/>
        <w:tab w:val="right" w:pos="9360"/>
      </w:tabs>
    </w:pPr>
  </w:style>
  <w:style w:type="character" w:customStyle="1" w:styleId="FooterChar">
    <w:name w:val="Footer Char"/>
    <w:basedOn w:val="DefaultParagraphFont"/>
    <w:link w:val="Footer"/>
    <w:uiPriority w:val="99"/>
    <w:locked/>
    <w:rsid w:val="0055696E"/>
    <w:rPr>
      <w:rFonts w:cs="Times New Roman"/>
      <w:sz w:val="22"/>
      <w:szCs w:val="22"/>
    </w:rPr>
  </w:style>
  <w:style w:type="paragraph" w:styleId="NormalWeb">
    <w:name w:val="Normal (Web)"/>
    <w:basedOn w:val="Normal"/>
    <w:uiPriority w:val="99"/>
    <w:rsid w:val="00705DB9"/>
    <w:pPr>
      <w:spacing w:before="100" w:beforeAutospacing="1" w:after="100" w:afterAutospacing="1" w:line="240" w:lineRule="auto"/>
    </w:pPr>
    <w:rPr>
      <w:rFonts w:ascii="Times New Roman" w:eastAsia="Times New Roman" w:hAnsi="Times New Roman"/>
      <w:sz w:val="24"/>
      <w:szCs w:val="24"/>
    </w:rPr>
  </w:style>
  <w:style w:type="paragraph" w:customStyle="1" w:styleId="line874">
    <w:name w:val="line874"/>
    <w:basedOn w:val="Normal"/>
    <w:uiPriority w:val="99"/>
    <w:rsid w:val="0068088C"/>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rsid w:val="000F41DC"/>
    <w:rPr>
      <w:sz w:val="20"/>
      <w:szCs w:val="20"/>
    </w:rPr>
  </w:style>
  <w:style w:type="character" w:customStyle="1" w:styleId="FootnoteTextChar">
    <w:name w:val="Footnote Text Char"/>
    <w:basedOn w:val="DefaultParagraphFont"/>
    <w:link w:val="FootnoteText"/>
    <w:uiPriority w:val="99"/>
    <w:semiHidden/>
    <w:locked/>
    <w:rsid w:val="000F41DC"/>
    <w:rPr>
      <w:rFonts w:cs="Times New Roman"/>
    </w:rPr>
  </w:style>
  <w:style w:type="character" w:styleId="FootnoteReference">
    <w:name w:val="footnote reference"/>
    <w:basedOn w:val="DefaultParagraphFont"/>
    <w:uiPriority w:val="99"/>
    <w:semiHidden/>
    <w:rsid w:val="000F41DC"/>
    <w:rPr>
      <w:rFonts w:cs="Times New Roman"/>
      <w:vertAlign w:val="superscript"/>
    </w:rPr>
  </w:style>
  <w:style w:type="table" w:styleId="TableGrid">
    <w:name w:val="Table Grid"/>
    <w:basedOn w:val="TableNormal"/>
    <w:uiPriority w:val="99"/>
    <w:rsid w:val="007E662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11">
    <w:name w:val="Medium Grid 11"/>
    <w:uiPriority w:val="99"/>
    <w:rsid w:val="00242449"/>
    <w:rPr>
      <w:lang w:val="fr-CA" w:eastAsia="fr-C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3">
    <w:name w:val="Medium Grid 1 Accent 3"/>
    <w:basedOn w:val="TableNormal"/>
    <w:uiPriority w:val="99"/>
    <w:rsid w:val="0024244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2">
    <w:name w:val="Medium Grid 1 Accent 2"/>
    <w:basedOn w:val="TableNormal"/>
    <w:uiPriority w:val="99"/>
    <w:rsid w:val="005F396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List2-Accent6">
    <w:name w:val="Medium List 2 Accent 6"/>
    <w:basedOn w:val="TableNormal"/>
    <w:uiPriority w:val="99"/>
    <w:rsid w:val="005F3965"/>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LightShading1">
    <w:name w:val="Light Shading1"/>
    <w:uiPriority w:val="99"/>
    <w:rsid w:val="005F3965"/>
    <w:rPr>
      <w:color w:val="000000"/>
      <w:lang w:val="fr-CA" w:eastAsia="fr-C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03490D"/>
    <w:rPr>
      <w:rFonts w:cs="Times New Roman"/>
      <w:color w:val="800080"/>
      <w:u w:val="single"/>
    </w:rPr>
  </w:style>
  <w:style w:type="table" w:customStyle="1" w:styleId="ColorfulList1">
    <w:name w:val="Colorful List1"/>
    <w:uiPriority w:val="99"/>
    <w:rsid w:val="00BC7C95"/>
    <w:rPr>
      <w:color w:val="000000"/>
      <w:lang w:val="fr-CA" w:eastAsia="fr-CA"/>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Shading2-Accent2">
    <w:name w:val="Medium Shading 2 Accent 2"/>
    <w:basedOn w:val="TableNormal"/>
    <w:uiPriority w:val="99"/>
    <w:rsid w:val="00BC7C9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99"/>
    <w:qFormat/>
    <w:rsid w:val="00EA32E9"/>
    <w:pPr>
      <w:keepLines/>
      <w:spacing w:before="480" w:after="0"/>
      <w:outlineLvl w:val="9"/>
    </w:pPr>
    <w:rPr>
      <w:color w:val="365F91"/>
      <w:kern w:val="0"/>
      <w:sz w:val="28"/>
      <w:szCs w:val="28"/>
    </w:rPr>
  </w:style>
  <w:style w:type="paragraph" w:styleId="TOC1">
    <w:name w:val="toc 1"/>
    <w:basedOn w:val="Normal"/>
    <w:next w:val="Normal"/>
    <w:autoRedefine/>
    <w:uiPriority w:val="99"/>
    <w:rsid w:val="00EA32E9"/>
  </w:style>
  <w:style w:type="paragraph" w:styleId="TOC2">
    <w:name w:val="toc 2"/>
    <w:basedOn w:val="Normal"/>
    <w:next w:val="Normal"/>
    <w:autoRedefine/>
    <w:uiPriority w:val="99"/>
    <w:rsid w:val="00896C56"/>
    <w:pPr>
      <w:tabs>
        <w:tab w:val="right" w:leader="dot" w:pos="9350"/>
      </w:tabs>
      <w:ind w:left="220"/>
    </w:pPr>
    <w:rPr>
      <w:noProof/>
    </w:rPr>
  </w:style>
  <w:style w:type="paragraph" w:styleId="TOC3">
    <w:name w:val="toc 3"/>
    <w:basedOn w:val="Normal"/>
    <w:next w:val="Normal"/>
    <w:autoRedefine/>
    <w:uiPriority w:val="99"/>
    <w:rsid w:val="00EA32E9"/>
    <w:pPr>
      <w:ind w:left="440"/>
    </w:pPr>
  </w:style>
  <w:style w:type="table" w:styleId="LightGrid-Accent3">
    <w:name w:val="Light Grid Accent 3"/>
    <w:basedOn w:val="TableNormal"/>
    <w:uiPriority w:val="99"/>
    <w:rsid w:val="003617BD"/>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4">
    <w:name w:val="Medium Shading 1 Accent 4"/>
    <w:basedOn w:val="TableNormal"/>
    <w:uiPriority w:val="99"/>
    <w:rsid w:val="00C233E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character" w:styleId="Strong">
    <w:name w:val="Strong"/>
    <w:basedOn w:val="DefaultParagraphFont"/>
    <w:uiPriority w:val="99"/>
    <w:qFormat/>
    <w:locked/>
    <w:rsid w:val="00E46CBB"/>
    <w:rPr>
      <w:rFonts w:cs="Times New Roman"/>
      <w:b/>
      <w:bCs/>
    </w:rPr>
  </w:style>
  <w:style w:type="character" w:styleId="Emphasis">
    <w:name w:val="Emphasis"/>
    <w:basedOn w:val="DefaultParagraphFont"/>
    <w:uiPriority w:val="99"/>
    <w:qFormat/>
    <w:locked/>
    <w:rsid w:val="00461CBD"/>
    <w:rPr>
      <w:rFonts w:cs="Times New Roman"/>
      <w:i/>
      <w:iCs/>
    </w:rPr>
  </w:style>
  <w:style w:type="character" w:styleId="CommentReference">
    <w:name w:val="annotation reference"/>
    <w:basedOn w:val="DefaultParagraphFont"/>
    <w:uiPriority w:val="99"/>
    <w:semiHidden/>
    <w:rsid w:val="003A7B40"/>
    <w:rPr>
      <w:rFonts w:cs="Times New Roman"/>
      <w:sz w:val="16"/>
      <w:szCs w:val="16"/>
    </w:rPr>
  </w:style>
  <w:style w:type="paragraph" w:styleId="CommentText">
    <w:name w:val="annotation text"/>
    <w:basedOn w:val="Normal"/>
    <w:link w:val="CommentTextChar"/>
    <w:uiPriority w:val="99"/>
    <w:semiHidden/>
    <w:rsid w:val="003A7B4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A7B40"/>
    <w:rPr>
      <w:rFonts w:ascii="Calibri" w:hAnsi="Calibri" w:cs="Times New Roman"/>
      <w:lang w:val="en-US" w:eastAsia="en-US" w:bidi="ar-SA"/>
    </w:rPr>
  </w:style>
  <w:style w:type="paragraph" w:styleId="CommentSubject">
    <w:name w:val="annotation subject"/>
    <w:basedOn w:val="CommentText"/>
    <w:next w:val="CommentText"/>
    <w:link w:val="CommentSubjectChar"/>
    <w:uiPriority w:val="99"/>
    <w:semiHidden/>
    <w:rsid w:val="003A7B40"/>
    <w:rPr>
      <w:b/>
      <w:bCs/>
    </w:rPr>
  </w:style>
  <w:style w:type="character" w:customStyle="1" w:styleId="CommentSubjectChar">
    <w:name w:val="Comment Subject Char"/>
    <w:basedOn w:val="CommentTextChar"/>
    <w:link w:val="CommentSubject"/>
    <w:uiPriority w:val="99"/>
    <w:semiHidden/>
    <w:locked/>
    <w:rsid w:val="003A7B40"/>
    <w:rPr>
      <w:b/>
      <w:bCs/>
    </w:rPr>
  </w:style>
  <w:style w:type="paragraph" w:styleId="BalloonText">
    <w:name w:val="Balloon Text"/>
    <w:basedOn w:val="Normal"/>
    <w:link w:val="BalloonTextChar"/>
    <w:uiPriority w:val="99"/>
    <w:semiHidden/>
    <w:rsid w:val="003A7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7B40"/>
    <w:rPr>
      <w:rFonts w:ascii="Tahoma" w:hAnsi="Tahoma" w:cs="Tahoma"/>
      <w:sz w:val="16"/>
      <w:szCs w:val="16"/>
      <w:lang w:val="en-US" w:eastAsia="en-US" w:bidi="ar-SA"/>
    </w:rPr>
  </w:style>
</w:styles>
</file>

<file path=word/webSettings.xml><?xml version="1.0" encoding="utf-8"?>
<w:webSettings xmlns:r="http://schemas.openxmlformats.org/officeDocument/2006/relationships" xmlns:w="http://schemas.openxmlformats.org/wordprocessingml/2006/main">
  <w:divs>
    <w:div w:id="1918008180">
      <w:marLeft w:val="0"/>
      <w:marRight w:val="0"/>
      <w:marTop w:val="0"/>
      <w:marBottom w:val="0"/>
      <w:divBdr>
        <w:top w:val="none" w:sz="0" w:space="0" w:color="auto"/>
        <w:left w:val="none" w:sz="0" w:space="0" w:color="auto"/>
        <w:bottom w:val="none" w:sz="0" w:space="0" w:color="auto"/>
        <w:right w:val="none" w:sz="0" w:space="0" w:color="auto"/>
      </w:divBdr>
    </w:div>
    <w:div w:id="1918008181">
      <w:marLeft w:val="0"/>
      <w:marRight w:val="0"/>
      <w:marTop w:val="0"/>
      <w:marBottom w:val="0"/>
      <w:divBdr>
        <w:top w:val="none" w:sz="0" w:space="0" w:color="auto"/>
        <w:left w:val="none" w:sz="0" w:space="0" w:color="auto"/>
        <w:bottom w:val="none" w:sz="0" w:space="0" w:color="auto"/>
        <w:right w:val="none" w:sz="0" w:space="0" w:color="auto"/>
      </w:divBdr>
    </w:div>
    <w:div w:id="1918008182">
      <w:marLeft w:val="0"/>
      <w:marRight w:val="0"/>
      <w:marTop w:val="0"/>
      <w:marBottom w:val="0"/>
      <w:divBdr>
        <w:top w:val="none" w:sz="0" w:space="0" w:color="auto"/>
        <w:left w:val="none" w:sz="0" w:space="0" w:color="auto"/>
        <w:bottom w:val="none" w:sz="0" w:space="0" w:color="auto"/>
        <w:right w:val="none" w:sz="0" w:space="0" w:color="auto"/>
      </w:divBdr>
    </w:div>
    <w:div w:id="1918008183">
      <w:marLeft w:val="0"/>
      <w:marRight w:val="0"/>
      <w:marTop w:val="0"/>
      <w:marBottom w:val="0"/>
      <w:divBdr>
        <w:top w:val="none" w:sz="0" w:space="0" w:color="auto"/>
        <w:left w:val="none" w:sz="0" w:space="0" w:color="auto"/>
        <w:bottom w:val="none" w:sz="0" w:space="0" w:color="auto"/>
        <w:right w:val="none" w:sz="0" w:space="0" w:color="auto"/>
      </w:divBdr>
    </w:div>
    <w:div w:id="1918008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bchealthcoalition.ca/content/view/86/3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23C1F-D39A-4C64-ADA5-531EF8AF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1886</Words>
  <Characters>10158</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P3 Hospitals: The wrong direction</vt:lpstr>
    </vt:vector>
  </TitlesOfParts>
  <Company/>
  <LinksUpToDate>false</LinksUpToDate>
  <CharactersWithSpaces>12020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 Hospitals: The wrong direction</dc:title>
  <dc:creator>hfarrow</dc:creator>
  <cp:lastModifiedBy>sstjean</cp:lastModifiedBy>
  <cp:revision>7</cp:revision>
  <cp:lastPrinted>2011-04-14T19:57:00Z</cp:lastPrinted>
  <dcterms:created xsi:type="dcterms:W3CDTF">2011-04-18T16:05:00Z</dcterms:created>
  <dcterms:modified xsi:type="dcterms:W3CDTF">2011-04-18T16:43:00Z</dcterms:modified>
</cp:coreProperties>
</file>